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EA2451"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2991CBFA"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A33369">
        <w:rPr>
          <w:rFonts w:ascii="Verdana" w:hAnsi="Verdana"/>
          <w:b/>
          <w:sz w:val="28"/>
          <w:szCs w:val="28"/>
        </w:rPr>
        <w:t>I</w:t>
      </w:r>
      <w:r>
        <w:rPr>
          <w:rFonts w:ascii="Verdana" w:hAnsi="Verdana"/>
          <w:b/>
          <w:sz w:val="28"/>
          <w:szCs w:val="28"/>
        </w:rPr>
        <w:t>FID</w:t>
      </w:r>
      <w:r w:rsidR="00A33369">
        <w:rPr>
          <w:rFonts w:ascii="Verdana" w:hAnsi="Verdana"/>
          <w:b/>
          <w:sz w:val="28"/>
          <w:szCs w:val="28"/>
        </w:rPr>
        <w:t>PRU</w:t>
      </w:r>
      <w:r>
        <w:rPr>
          <w:rFonts w:ascii="Verdana" w:hAnsi="Verdana"/>
          <w:b/>
          <w:sz w:val="28"/>
          <w:szCs w:val="28"/>
        </w:rPr>
        <w:t xml:space="preserve"> </w:t>
      </w:r>
      <w:r w:rsidR="004D2E88">
        <w:rPr>
          <w:rFonts w:ascii="Verdana" w:hAnsi="Verdana"/>
          <w:b/>
          <w:sz w:val="28"/>
          <w:szCs w:val="28"/>
        </w:rPr>
        <w:t>4.</w:t>
      </w:r>
      <w:r w:rsidR="00993A66">
        <w:rPr>
          <w:rFonts w:ascii="Verdana" w:hAnsi="Verdana"/>
          <w:b/>
          <w:sz w:val="28"/>
          <w:szCs w:val="28"/>
        </w:rPr>
        <w:t>12.4R for permission to use an advanced internal market risk model</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EA2451">
      <w:r>
        <w:rPr>
          <w:noProof/>
        </w:rPr>
        <w:pict w14:anchorId="6627268A">
          <v:rect id="_x0000_s1148" style="position:absolute;margin-left:31.2pt;margin-top:241.5pt;width:531pt;height:574.6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74FA575C" w14:textId="31F08CA0" w:rsidR="00005698" w:rsidRDefault="003A0536" w:rsidP="004356FD">
                  <w:pPr>
                    <w:tabs>
                      <w:tab w:val="right" w:pos="4253"/>
                    </w:tabs>
                    <w:spacing w:line="240" w:lineRule="exact"/>
                    <w:ind w:left="142" w:right="312" w:hanging="284"/>
                    <w:rPr>
                      <w:rFonts w:ascii="Verdana" w:hAnsi="Verdana"/>
                    </w:rPr>
                  </w:pPr>
                  <w:r>
                    <w:rPr>
                      <w:rFonts w:ascii="Verdana" w:hAnsi="Verdana"/>
                    </w:rPr>
                    <w:tab/>
                  </w:r>
                  <w:bookmarkStart w:id="2" w:name="_Hlk77578415"/>
                  <w:r w:rsidR="00FD205C" w:rsidRPr="00FD205C">
                    <w:rPr>
                      <w:rFonts w:ascii="Verdana" w:hAnsi="Verdana"/>
                    </w:rPr>
                    <w:t>This</w:t>
                  </w:r>
                  <w:r w:rsidR="00FD205C">
                    <w:rPr>
                      <w:rFonts w:ascii="Verdana" w:hAnsi="Verdana"/>
                    </w:rPr>
                    <w:t xml:space="preserve"> application form </w:t>
                  </w:r>
                  <w:r w:rsidR="007B3D5E">
                    <w:rPr>
                      <w:rFonts w:ascii="Verdana" w:hAnsi="Verdana"/>
                    </w:rPr>
                    <w:t>should be completed by</w:t>
                  </w:r>
                  <w:r w:rsidR="00FD205C" w:rsidRPr="00FD205C">
                    <w:rPr>
                      <w:rFonts w:ascii="Verdana" w:hAnsi="Verdana"/>
                    </w:rPr>
                    <w:t xml:space="preserve"> MIFIDPRU investment firm</w:t>
                  </w:r>
                  <w:r w:rsidR="007B3D5E">
                    <w:rPr>
                      <w:rFonts w:ascii="Verdana" w:hAnsi="Verdana"/>
                    </w:rPr>
                    <w:t>s</w:t>
                  </w:r>
                  <w:r w:rsidR="00FD205C" w:rsidRPr="00FD205C">
                    <w:rPr>
                      <w:rFonts w:ascii="Verdana" w:hAnsi="Verdana"/>
                    </w:rPr>
                    <w:t xml:space="preserve"> and</w:t>
                  </w:r>
                  <w:r w:rsidR="007B3D5E">
                    <w:rPr>
                      <w:rFonts w:ascii="Verdana" w:hAnsi="Verdana"/>
                    </w:rPr>
                    <w:t xml:space="preserve"> </w:t>
                  </w:r>
                  <w:r w:rsidR="00FD205C" w:rsidRPr="00FD205C">
                    <w:rPr>
                      <w:rFonts w:ascii="Verdana" w:hAnsi="Verdana"/>
                    </w:rPr>
                    <w:t>consolidating UK parent entit</w:t>
                  </w:r>
                  <w:r w:rsidR="007B3D5E">
                    <w:rPr>
                      <w:rFonts w:ascii="Verdana" w:hAnsi="Verdana"/>
                    </w:rPr>
                    <w:t>ies</w:t>
                  </w:r>
                  <w:r w:rsidR="00FD205C" w:rsidRPr="00FD205C">
                    <w:rPr>
                      <w:rFonts w:ascii="Verdana" w:hAnsi="Verdana"/>
                    </w:rPr>
                    <w:t xml:space="preserve"> wish</w:t>
                  </w:r>
                  <w:r w:rsidR="007B3D5E">
                    <w:rPr>
                      <w:rFonts w:ascii="Verdana" w:hAnsi="Verdana"/>
                    </w:rPr>
                    <w:t>ing</w:t>
                  </w:r>
                  <w:r w:rsidR="00FD205C" w:rsidRPr="00FD205C">
                    <w:rPr>
                      <w:rFonts w:ascii="Verdana" w:hAnsi="Verdana"/>
                    </w:rPr>
                    <w:t xml:space="preserve"> to use an advanced internal market risk model</w:t>
                  </w:r>
                  <w:r w:rsidR="00B45884" w:rsidRPr="00B45884">
                    <w:t xml:space="preserve"> </w:t>
                  </w:r>
                  <w:r w:rsidR="00B45884" w:rsidRPr="00B45884">
                    <w:rPr>
                      <w:rFonts w:ascii="Verdana" w:hAnsi="Verdana"/>
                    </w:rPr>
                    <w:t xml:space="preserve">for the purpose of calculating </w:t>
                  </w:r>
                  <w:r w:rsidR="00B45884">
                    <w:rPr>
                      <w:rFonts w:ascii="Verdana" w:hAnsi="Verdana"/>
                    </w:rPr>
                    <w:t>their</w:t>
                  </w:r>
                  <w:r w:rsidR="00B45884" w:rsidRPr="00B45884">
                    <w:rPr>
                      <w:rFonts w:ascii="Verdana" w:hAnsi="Verdana"/>
                    </w:rPr>
                    <w:t xml:space="preserve"> K-NPR requirement</w:t>
                  </w:r>
                  <w:r w:rsidR="00FD205C" w:rsidRPr="00FD205C">
                    <w:rPr>
                      <w:rFonts w:ascii="Verdana" w:hAnsi="Verdana"/>
                    </w:rPr>
                    <w:t>.</w:t>
                  </w:r>
                </w:p>
                <w:p w14:paraId="2F87FE04" w14:textId="77777777" w:rsidR="00005698" w:rsidRDefault="00005698" w:rsidP="004356FD">
                  <w:pPr>
                    <w:tabs>
                      <w:tab w:val="right" w:pos="4253"/>
                    </w:tabs>
                    <w:spacing w:line="240" w:lineRule="exact"/>
                    <w:ind w:left="142" w:right="312" w:hanging="284"/>
                    <w:rPr>
                      <w:rFonts w:ascii="Verdana" w:hAnsi="Verdana"/>
                    </w:rPr>
                  </w:pPr>
                  <w:r>
                    <w:rPr>
                      <w:rFonts w:ascii="Verdana" w:hAnsi="Verdana"/>
                    </w:rPr>
                    <w:tab/>
                  </w:r>
                </w:p>
                <w:p w14:paraId="59FF6872" w14:textId="0FE545A9" w:rsidR="00300CAF" w:rsidRDefault="00005698" w:rsidP="004F4D68">
                  <w:pPr>
                    <w:tabs>
                      <w:tab w:val="right" w:pos="4253"/>
                    </w:tabs>
                    <w:spacing w:line="240" w:lineRule="exact"/>
                    <w:ind w:left="142" w:right="312" w:hanging="284"/>
                    <w:rPr>
                      <w:rFonts w:ascii="Verdana" w:hAnsi="Verdana"/>
                    </w:rPr>
                  </w:pPr>
                  <w:r>
                    <w:rPr>
                      <w:rFonts w:ascii="Verdana" w:hAnsi="Verdana"/>
                    </w:rPr>
                    <w:tab/>
                  </w:r>
                  <w:r w:rsidR="004F4D68" w:rsidRPr="004F4D68">
                    <w:rPr>
                      <w:rFonts w:ascii="Verdana" w:hAnsi="Verdana"/>
                    </w:rPr>
                    <w:t xml:space="preserve">Please refer to MIFIDPRU 4.12 and the FCA's IFPR webpage which includes links to all our IFPR related publications to date: </w:t>
                  </w:r>
                  <w:hyperlink r:id="rId13" w:history="1">
                    <w:r w:rsidR="00705D59" w:rsidRPr="00D17C35">
                      <w:rPr>
                        <w:rStyle w:val="Hyperlink"/>
                        <w:rFonts w:ascii="Verdana" w:hAnsi="Verdana"/>
                      </w:rPr>
                      <w:t>https://www.fca.org.uk/firms/investment-firms-prudential-regime-ifpr</w:t>
                    </w:r>
                  </w:hyperlink>
                  <w:r w:rsidR="00705D59">
                    <w:rPr>
                      <w:rFonts w:ascii="Verdana" w:hAnsi="Verdana"/>
                    </w:rPr>
                    <w:t xml:space="preserve"> </w:t>
                  </w:r>
                </w:p>
                <w:p w14:paraId="30E2BBAB" w14:textId="6FDC2408" w:rsidR="009356BB" w:rsidRDefault="009356BB" w:rsidP="004356FD">
                  <w:pPr>
                    <w:tabs>
                      <w:tab w:val="right" w:pos="4253"/>
                    </w:tabs>
                    <w:spacing w:line="240" w:lineRule="exact"/>
                    <w:ind w:left="142" w:right="312" w:hanging="284"/>
                    <w:rPr>
                      <w:rFonts w:ascii="Verdana" w:hAnsi="Verdana"/>
                    </w:rPr>
                  </w:pPr>
                </w:p>
                <w:p w14:paraId="6B5F4CF3" w14:textId="2E7E3147" w:rsidR="009356BB" w:rsidRDefault="009356BB" w:rsidP="004356FD">
                  <w:pPr>
                    <w:tabs>
                      <w:tab w:val="right" w:pos="4253"/>
                    </w:tabs>
                    <w:spacing w:line="240" w:lineRule="exact"/>
                    <w:ind w:left="142" w:right="312" w:hanging="284"/>
                    <w:rPr>
                      <w:rFonts w:ascii="Verdana" w:hAnsi="Verdana"/>
                    </w:rPr>
                  </w:pPr>
                  <w:r>
                    <w:rPr>
                      <w:rFonts w:ascii="Verdana" w:hAnsi="Verdana"/>
                    </w:rPr>
                    <w:tab/>
                  </w:r>
                  <w:r w:rsidRPr="00D23ECD">
                    <w:rPr>
                      <w:rFonts w:ascii="Verdana" w:hAnsi="Verdana"/>
                    </w:rPr>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2FFF2FD0"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300CAF">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5C3FEC60" w:rsidR="000442C8" w:rsidRPr="00443DF6" w:rsidRDefault="000442C8" w:rsidP="00705D59">
            <w:pPr>
              <w:pStyle w:val="Sectionheading"/>
              <w:rPr>
                <w:rFonts w:ascii="Verdana" w:hAnsi="Verdana"/>
              </w:rPr>
            </w:pPr>
            <w:r w:rsidRPr="00047382">
              <w:rPr>
                <w:rFonts w:ascii="Verdana" w:hAnsi="Verdana"/>
                <w:sz w:val="28"/>
                <w:szCs w:val="28"/>
              </w:rPr>
              <w:t>About th</w:t>
            </w:r>
            <w:r w:rsidR="00300CAF">
              <w:rPr>
                <w:rFonts w:ascii="Verdana" w:hAnsi="Verdana"/>
                <w:sz w:val="28"/>
                <w:szCs w:val="28"/>
              </w:rPr>
              <w:t>is permission</w:t>
            </w:r>
          </w:p>
        </w:tc>
      </w:tr>
    </w:tbl>
    <w:p w14:paraId="2FE4AF78" w14:textId="77777777" w:rsidR="00504F64" w:rsidRDefault="00504F64" w:rsidP="009104F3">
      <w:pPr>
        <w:pStyle w:val="Question"/>
        <w:keepNext/>
        <w:rPr>
          <w:rFonts w:ascii="Verdana" w:hAnsi="Verdana"/>
          <w:b/>
        </w:rPr>
      </w:pPr>
    </w:p>
    <w:p w14:paraId="3E8D73B7" w14:textId="0FBE4620" w:rsidR="00B21817" w:rsidRPr="00705D59" w:rsidRDefault="00B21817" w:rsidP="00705D59">
      <w:pPr>
        <w:pStyle w:val="Qsanswer"/>
        <w:spacing w:before="20" w:after="0"/>
        <w:ind w:right="57"/>
        <w:rPr>
          <w:rFonts w:ascii="Verdana" w:hAnsi="Verdana"/>
          <w:b/>
          <w:bCs/>
        </w:rPr>
      </w:pPr>
      <w:r w:rsidRPr="00705D59">
        <w:rPr>
          <w:rFonts w:ascii="Verdana" w:hAnsi="Verdana"/>
          <w:color w:val="auto"/>
        </w:rPr>
        <w:t xml:space="preserve">MIFIDPRU 4.12.8R to 4.12.65G set out requirements for internal models and explain the factors that the FCA will consider when deciding whether to grant permission to use an advanced internal model. Please refer to these rules and guidance when completing your application.  </w:t>
      </w:r>
    </w:p>
    <w:p w14:paraId="416205B4" w14:textId="5498051D" w:rsidR="0033782F" w:rsidRDefault="00705D59" w:rsidP="0033782F">
      <w:pPr>
        <w:pStyle w:val="Question"/>
        <w:keepNext/>
        <w:spacing w:after="20"/>
        <w:rPr>
          <w:rFonts w:ascii="Verdana" w:hAnsi="Verdana"/>
          <w:b/>
        </w:rPr>
      </w:pPr>
      <w:r>
        <w:rPr>
          <w:rFonts w:ascii="Verdana" w:hAnsi="Verdana"/>
          <w:b/>
        </w:rPr>
        <w:tab/>
      </w:r>
      <w:r w:rsidR="0033782F">
        <w:rPr>
          <w:rFonts w:ascii="Verdana" w:hAnsi="Verdana"/>
          <w:b/>
        </w:rPr>
        <w:t>2.</w:t>
      </w:r>
      <w:r w:rsidR="007168B9">
        <w:rPr>
          <w:rFonts w:ascii="Verdana" w:hAnsi="Verdana"/>
          <w:b/>
        </w:rPr>
        <w:t>1</w:t>
      </w:r>
      <w:r w:rsidR="0033782F" w:rsidRPr="00443DF6">
        <w:rPr>
          <w:rFonts w:ascii="Verdana" w:hAnsi="Verdana"/>
          <w:b/>
        </w:rPr>
        <w:tab/>
      </w:r>
      <w:r w:rsidR="00DA396A" w:rsidRPr="00DA396A">
        <w:rPr>
          <w:rFonts w:ascii="Verdana" w:hAnsi="Verdana"/>
          <w:b/>
        </w:rPr>
        <w:t xml:space="preserve">Please list </w:t>
      </w:r>
      <w:bookmarkStart w:id="3" w:name="_Hlk75501461"/>
      <w:r w:rsidR="00DA396A" w:rsidRPr="00DA396A">
        <w:rPr>
          <w:rFonts w:ascii="Verdana" w:hAnsi="Verdana"/>
          <w:b/>
        </w:rPr>
        <w:t xml:space="preserve">all MIFIDPRU investment firms </w:t>
      </w:r>
      <w:bookmarkEnd w:id="3"/>
      <w:r w:rsidR="007168B9">
        <w:rPr>
          <w:rFonts w:ascii="Verdana" w:hAnsi="Verdana"/>
          <w:b/>
        </w:rPr>
        <w:t>covered by the model on behalf of which this application is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tblGrid>
      <w:tr w:rsidR="00521506" w14:paraId="0AD92695" w14:textId="77777777" w:rsidTr="00D14103">
        <w:trPr>
          <w:trHeight w:val="386"/>
        </w:trPr>
        <w:tc>
          <w:tcPr>
            <w:tcW w:w="1560" w:type="dxa"/>
            <w:shd w:val="clear" w:color="auto" w:fill="D9D9D9"/>
            <w:vAlign w:val="center"/>
          </w:tcPr>
          <w:p w14:paraId="0F2568FA" w14:textId="73538049" w:rsidR="00521506" w:rsidRPr="00D14103" w:rsidRDefault="00521506" w:rsidP="00D14103">
            <w:pPr>
              <w:pStyle w:val="Question"/>
              <w:keepNext/>
              <w:spacing w:after="20"/>
              <w:ind w:firstLine="0"/>
              <w:rPr>
                <w:rFonts w:ascii="Verdana" w:hAnsi="Verdana"/>
                <w:b/>
              </w:rPr>
            </w:pPr>
            <w:r w:rsidRPr="00D14103">
              <w:rPr>
                <w:rFonts w:ascii="Verdana" w:hAnsi="Verdana"/>
                <w:b/>
              </w:rPr>
              <w:t>FRN</w:t>
            </w:r>
          </w:p>
        </w:tc>
        <w:tc>
          <w:tcPr>
            <w:tcW w:w="5670" w:type="dxa"/>
            <w:shd w:val="clear" w:color="auto" w:fill="D9D9D9"/>
            <w:vAlign w:val="center"/>
          </w:tcPr>
          <w:p w14:paraId="2939009C" w14:textId="13A19230" w:rsidR="00521506" w:rsidRPr="00D14103" w:rsidRDefault="00521506" w:rsidP="00D14103">
            <w:pPr>
              <w:pStyle w:val="Question"/>
              <w:keepNext/>
              <w:spacing w:after="20"/>
              <w:ind w:firstLine="0"/>
              <w:rPr>
                <w:rFonts w:ascii="Verdana" w:hAnsi="Verdana"/>
                <w:b/>
              </w:rPr>
            </w:pPr>
            <w:r w:rsidRPr="00D14103">
              <w:rPr>
                <w:rFonts w:ascii="Verdana" w:hAnsi="Verdana"/>
                <w:b/>
              </w:rPr>
              <w:t>MIFIDPRU investment firm name</w:t>
            </w:r>
          </w:p>
        </w:tc>
      </w:tr>
      <w:tr w:rsidR="00521506" w14:paraId="32CF6239" w14:textId="77777777" w:rsidTr="00D14103">
        <w:tc>
          <w:tcPr>
            <w:tcW w:w="1560" w:type="dxa"/>
            <w:shd w:val="clear" w:color="auto" w:fill="auto"/>
          </w:tcPr>
          <w:p w14:paraId="47A9E7AA" w14:textId="77BCA724"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c>
          <w:tcPr>
            <w:tcW w:w="5670" w:type="dxa"/>
            <w:shd w:val="clear" w:color="auto" w:fill="auto"/>
          </w:tcPr>
          <w:p w14:paraId="5C292DD0" w14:textId="6FE974A2"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r>
      <w:tr w:rsidR="00521506" w14:paraId="211385F5" w14:textId="77777777" w:rsidTr="00D14103">
        <w:tc>
          <w:tcPr>
            <w:tcW w:w="1560" w:type="dxa"/>
            <w:shd w:val="clear" w:color="auto" w:fill="auto"/>
          </w:tcPr>
          <w:p w14:paraId="58F8007E" w14:textId="1B64F54F"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c>
          <w:tcPr>
            <w:tcW w:w="5670" w:type="dxa"/>
            <w:shd w:val="clear" w:color="auto" w:fill="auto"/>
          </w:tcPr>
          <w:p w14:paraId="3D37CF2B" w14:textId="6A2C6DE6"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r>
      <w:tr w:rsidR="00521506" w14:paraId="436C382E" w14:textId="77777777" w:rsidTr="00D14103">
        <w:tc>
          <w:tcPr>
            <w:tcW w:w="1560" w:type="dxa"/>
            <w:shd w:val="clear" w:color="auto" w:fill="auto"/>
          </w:tcPr>
          <w:p w14:paraId="0506B99C" w14:textId="0B239A77"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c>
          <w:tcPr>
            <w:tcW w:w="5670" w:type="dxa"/>
            <w:shd w:val="clear" w:color="auto" w:fill="auto"/>
          </w:tcPr>
          <w:p w14:paraId="6E0B5296" w14:textId="458104EB" w:rsidR="00521506" w:rsidRPr="00D14103" w:rsidRDefault="00521506" w:rsidP="00D14103">
            <w:pPr>
              <w:pStyle w:val="Question"/>
              <w:keepNext/>
              <w:spacing w:after="20"/>
              <w:ind w:firstLine="0"/>
              <w:rPr>
                <w:rFonts w:ascii="Verdana" w:hAnsi="Verdana"/>
                <w:b/>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r>
      <w:tr w:rsidR="00705D59" w14:paraId="7E21A5FD" w14:textId="77777777" w:rsidTr="00D14103">
        <w:tc>
          <w:tcPr>
            <w:tcW w:w="1560" w:type="dxa"/>
            <w:shd w:val="clear" w:color="auto" w:fill="auto"/>
          </w:tcPr>
          <w:p w14:paraId="2A87A04F" w14:textId="13831472" w:rsidR="00705D59" w:rsidRPr="00D14103" w:rsidRDefault="00705D59" w:rsidP="00705D59">
            <w:pPr>
              <w:pStyle w:val="Question"/>
              <w:keepNext/>
              <w:spacing w:after="20"/>
              <w:ind w:firstLine="0"/>
              <w:rPr>
                <w:rFonts w:ascii="Verdana" w:hAnsi="Verdana"/>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c>
          <w:tcPr>
            <w:tcW w:w="5670" w:type="dxa"/>
            <w:shd w:val="clear" w:color="auto" w:fill="auto"/>
          </w:tcPr>
          <w:p w14:paraId="301DB125" w14:textId="26B40FF7" w:rsidR="00705D59" w:rsidRPr="00D14103" w:rsidRDefault="00705D59" w:rsidP="00705D59">
            <w:pPr>
              <w:pStyle w:val="Question"/>
              <w:keepNext/>
              <w:spacing w:after="20"/>
              <w:ind w:firstLine="0"/>
              <w:rPr>
                <w:rFonts w:ascii="Verdana" w:hAnsi="Verdana"/>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r>
      <w:tr w:rsidR="00705D59" w14:paraId="69C70F4C" w14:textId="77777777" w:rsidTr="00D14103">
        <w:tc>
          <w:tcPr>
            <w:tcW w:w="1560" w:type="dxa"/>
            <w:shd w:val="clear" w:color="auto" w:fill="auto"/>
          </w:tcPr>
          <w:p w14:paraId="54985591" w14:textId="54379660" w:rsidR="00705D59" w:rsidRPr="00D14103" w:rsidRDefault="00705D59" w:rsidP="00705D59">
            <w:pPr>
              <w:pStyle w:val="Question"/>
              <w:keepNext/>
              <w:spacing w:after="20"/>
              <w:ind w:firstLine="0"/>
              <w:rPr>
                <w:rFonts w:ascii="Verdana" w:hAnsi="Verdana"/>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c>
          <w:tcPr>
            <w:tcW w:w="5670" w:type="dxa"/>
            <w:shd w:val="clear" w:color="auto" w:fill="auto"/>
          </w:tcPr>
          <w:p w14:paraId="73178E9D" w14:textId="7390B0D2" w:rsidR="00705D59" w:rsidRPr="00D14103" w:rsidRDefault="00705D59" w:rsidP="00705D59">
            <w:pPr>
              <w:pStyle w:val="Question"/>
              <w:keepNext/>
              <w:spacing w:after="20"/>
              <w:ind w:firstLine="0"/>
              <w:rPr>
                <w:rFonts w:ascii="Verdana" w:hAnsi="Verdana"/>
              </w:rPr>
            </w:pPr>
            <w:r w:rsidRPr="00D14103">
              <w:rPr>
                <w:rFonts w:ascii="Verdana" w:hAnsi="Verdana"/>
              </w:rPr>
              <w:fldChar w:fldCharType="begin">
                <w:ffData>
                  <w:name w:val="Text7"/>
                  <w:enabled/>
                  <w:calcOnExit w:val="0"/>
                  <w:textInput/>
                </w:ffData>
              </w:fldChar>
            </w:r>
            <w:r w:rsidRPr="00D14103">
              <w:rPr>
                <w:rFonts w:ascii="Verdana" w:hAnsi="Verdana"/>
              </w:rPr>
              <w:instrText xml:space="preserve"> FORMTEXT </w:instrText>
            </w:r>
            <w:r w:rsidRPr="00D14103">
              <w:rPr>
                <w:rFonts w:ascii="Verdana" w:hAnsi="Verdana"/>
              </w:rPr>
            </w:r>
            <w:r w:rsidRPr="00D14103">
              <w:rPr>
                <w:rFonts w:ascii="Verdana" w:hAnsi="Verdana"/>
              </w:rPr>
              <w:fldChar w:fldCharType="separate"/>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noProof/>
              </w:rPr>
              <w:t> </w:t>
            </w:r>
            <w:r w:rsidRPr="00D14103">
              <w:rPr>
                <w:rFonts w:ascii="Verdana" w:hAnsi="Verdana"/>
              </w:rPr>
              <w:fldChar w:fldCharType="end"/>
            </w:r>
          </w:p>
        </w:tc>
      </w:tr>
    </w:tbl>
    <w:p w14:paraId="380B5C15" w14:textId="19C6FA66" w:rsidR="0083535F" w:rsidRDefault="0083535F" w:rsidP="0083535F">
      <w:pPr>
        <w:pStyle w:val="Question"/>
        <w:keepNext/>
        <w:spacing w:after="20"/>
        <w:rPr>
          <w:rFonts w:ascii="Verdana" w:hAnsi="Verdana"/>
          <w:b/>
        </w:rPr>
      </w:pPr>
      <w:r w:rsidRPr="00443DF6">
        <w:rPr>
          <w:rFonts w:ascii="Verdana" w:hAnsi="Verdana"/>
          <w:b/>
        </w:rPr>
        <w:tab/>
      </w:r>
      <w:r>
        <w:rPr>
          <w:rFonts w:ascii="Verdana" w:hAnsi="Verdana"/>
          <w:b/>
        </w:rPr>
        <w:t>2.2</w:t>
      </w:r>
      <w:r w:rsidRPr="00443DF6">
        <w:rPr>
          <w:rFonts w:ascii="Verdana" w:hAnsi="Verdana"/>
          <w:b/>
        </w:rPr>
        <w:tab/>
      </w:r>
      <w:r>
        <w:rPr>
          <w:rFonts w:ascii="Verdana" w:hAnsi="Verdana"/>
          <w:b/>
        </w:rPr>
        <w:t>Please confirm which of the following the applicant firm wishes to calculate using an internal model</w:t>
      </w:r>
    </w:p>
    <w:p w14:paraId="26D86C72" w14:textId="5E81703D" w:rsidR="0083535F" w:rsidRPr="008601BA" w:rsidRDefault="0083535F" w:rsidP="0083535F">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4667A" w:rsidRPr="00B4667A">
        <w:rPr>
          <w:rFonts w:ascii="Verdana" w:hAnsi="Verdana"/>
          <w:szCs w:val="18"/>
        </w:rPr>
        <w:t>General risk of equity instruments</w:t>
      </w:r>
    </w:p>
    <w:p w14:paraId="56959587" w14:textId="77777777" w:rsidR="00BD6142" w:rsidRPr="00BD6142" w:rsidRDefault="0083535F"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D6142" w:rsidRPr="00BD6142">
        <w:rPr>
          <w:rFonts w:ascii="Verdana" w:hAnsi="Verdana"/>
          <w:szCs w:val="18"/>
        </w:rPr>
        <w:t xml:space="preserve">Specific risk of equity instruments </w:t>
      </w:r>
    </w:p>
    <w:p w14:paraId="1B175E6A" w14:textId="6E46204D"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234D44" w:rsidRPr="00B14C8A">
        <w:rPr>
          <w:rFonts w:ascii="Verdana" w:hAnsi="Verdana"/>
          <w:szCs w:val="18"/>
        </w:rPr>
        <w:t>General risk of debt instruments</w:t>
      </w:r>
    </w:p>
    <w:p w14:paraId="6A8DC160" w14:textId="115828B0"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AD6EBF" w:rsidRPr="00B14C8A">
        <w:rPr>
          <w:rFonts w:ascii="Verdana" w:hAnsi="Verdana"/>
          <w:szCs w:val="18"/>
        </w:rPr>
        <w:t>Specific risk of debt instruments</w:t>
      </w:r>
    </w:p>
    <w:p w14:paraId="5B407AE8" w14:textId="43CAEA11"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C5137F" w:rsidRPr="00B14C8A">
        <w:rPr>
          <w:rFonts w:ascii="Verdana" w:hAnsi="Verdana"/>
          <w:szCs w:val="18"/>
        </w:rPr>
        <w:t>Foreign exchange risk</w:t>
      </w:r>
    </w:p>
    <w:p w14:paraId="53B7F9DC" w14:textId="1C3F1BFA"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14C8A" w:rsidRPr="00B14C8A">
        <w:rPr>
          <w:rFonts w:ascii="Verdana" w:hAnsi="Verdana"/>
          <w:szCs w:val="18"/>
        </w:rPr>
        <w:t>Commodities risk</w:t>
      </w:r>
    </w:p>
    <w:p w14:paraId="44523E22" w14:textId="5F155D9D" w:rsidR="008634AE" w:rsidRPr="009B73CA" w:rsidRDefault="008634AE" w:rsidP="0007760A">
      <w:pPr>
        <w:pStyle w:val="Question"/>
        <w:keepNext/>
        <w:spacing w:after="20"/>
        <w:rPr>
          <w:rFonts w:ascii="Verdana" w:hAnsi="Verdana"/>
          <w:b/>
        </w:rPr>
      </w:pPr>
      <w:r>
        <w:rPr>
          <w:rFonts w:ascii="Verdana" w:hAnsi="Verdana"/>
          <w:b/>
        </w:rPr>
        <w:tab/>
        <w:t>2.3</w:t>
      </w:r>
      <w:r>
        <w:rPr>
          <w:rFonts w:ascii="Verdana" w:hAnsi="Verdana"/>
          <w:b/>
        </w:rPr>
        <w:tab/>
      </w:r>
      <w:r w:rsidR="0007760A" w:rsidRPr="0007760A">
        <w:rPr>
          <w:rFonts w:ascii="Verdana" w:hAnsi="Verdana"/>
          <w:b/>
        </w:rPr>
        <w:t>For the risk categories selected, please explain which classes of position within each risk category the applicant firm would like to apply the model to (eg government debt instruments, corporate debt instruments,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34AE" w:rsidRPr="00862EE7" w14:paraId="3AE32A32" w14:textId="77777777" w:rsidTr="00995704">
        <w:trPr>
          <w:trHeight w:val="1392"/>
        </w:trPr>
        <w:tc>
          <w:tcPr>
            <w:tcW w:w="7088" w:type="dxa"/>
          </w:tcPr>
          <w:p w14:paraId="222685AE" w14:textId="77777777" w:rsidR="008634AE" w:rsidRPr="00862EE7" w:rsidRDefault="008634AE"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DC4DACF" w14:textId="7A344DAF" w:rsidR="000D1378" w:rsidRDefault="000D1378" w:rsidP="000D1378">
      <w:pPr>
        <w:pStyle w:val="Question"/>
        <w:keepNext/>
        <w:spacing w:after="20"/>
        <w:rPr>
          <w:rFonts w:ascii="Verdana" w:hAnsi="Verdana"/>
          <w:b/>
        </w:rPr>
      </w:pPr>
      <w:r>
        <w:rPr>
          <w:rFonts w:ascii="Verdana" w:hAnsi="Verdana"/>
          <w:b/>
        </w:rPr>
        <w:lastRenderedPageBreak/>
        <w:tab/>
        <w:t>2.</w:t>
      </w:r>
      <w:r w:rsidR="00927A10">
        <w:rPr>
          <w:rFonts w:ascii="Verdana" w:hAnsi="Verdana"/>
          <w:b/>
        </w:rPr>
        <w:t>4</w:t>
      </w:r>
      <w:r>
        <w:rPr>
          <w:rFonts w:ascii="Verdana" w:hAnsi="Verdana"/>
          <w:b/>
        </w:rPr>
        <w:tab/>
      </w:r>
      <w:r w:rsidR="00927A10" w:rsidRPr="00927A10">
        <w:rPr>
          <w:rFonts w:ascii="Verdana" w:hAnsi="Verdana"/>
          <w:b/>
        </w:rPr>
        <w:t>Please confirm the scope of the consolidated application for the model</w:t>
      </w:r>
    </w:p>
    <w:p w14:paraId="32A3950D" w14:textId="16328D0C"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50322B" w:rsidRPr="0050322B">
        <w:rPr>
          <w:rFonts w:ascii="Verdana" w:hAnsi="Verdana"/>
          <w:szCs w:val="18"/>
        </w:rPr>
        <w:t>Not applicable, as the model will only be used at solo level</w:t>
      </w:r>
    </w:p>
    <w:p w14:paraId="3327AFC6" w14:textId="3C67C460"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AE1E14" w:rsidRPr="0034600F">
        <w:rPr>
          <w:rFonts w:ascii="Verdana" w:hAnsi="Verdana"/>
          <w:szCs w:val="18"/>
        </w:rPr>
        <w:t>The use of the model at solo and consolidated level will involve the same types of instruments</w:t>
      </w:r>
    </w:p>
    <w:p w14:paraId="18AE63BA" w14:textId="4E579515"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34600F">
        <w:rPr>
          <w:rFonts w:ascii="Verdana" w:hAnsi="Verdana"/>
          <w:szCs w:val="18"/>
        </w:rPr>
        <w:t>Th</w:t>
      </w:r>
      <w:r w:rsidR="0034600F" w:rsidRPr="0034600F">
        <w:rPr>
          <w:rFonts w:ascii="Verdana" w:hAnsi="Verdana"/>
          <w:szCs w:val="18"/>
        </w:rPr>
        <w:t xml:space="preserve">e consolidated application for a model will include a wider range of instrument types than those covered by the model at solo level </w:t>
      </w:r>
      <w:r w:rsidR="000719A1" w:rsidRPr="00306C46">
        <w:rPr>
          <w:rFonts w:ascii="Verdana" w:hAnsi="Verdana"/>
        </w:rPr>
        <w:sym w:font="Webdings" w:char="F034"/>
      </w:r>
      <w:r w:rsidR="000719A1">
        <w:rPr>
          <w:rFonts w:ascii="Verdana" w:hAnsi="Verdana"/>
        </w:rPr>
        <w:t xml:space="preserve"> </w:t>
      </w:r>
      <w:r w:rsidR="0034600F" w:rsidRPr="0034600F">
        <w:rPr>
          <w:rFonts w:ascii="Verdana" w:hAnsi="Verdana"/>
          <w:szCs w:val="18"/>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1378" w:rsidRPr="00862EE7" w14:paraId="670CA4A4" w14:textId="77777777" w:rsidTr="00995704">
        <w:trPr>
          <w:trHeight w:val="1392"/>
        </w:trPr>
        <w:tc>
          <w:tcPr>
            <w:tcW w:w="7088" w:type="dxa"/>
          </w:tcPr>
          <w:p w14:paraId="740B0D5D" w14:textId="77777777" w:rsidR="000D1378" w:rsidRPr="00862EE7" w:rsidRDefault="000D1378"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AB1FC2A" w14:textId="35425156" w:rsidR="00A93AEA" w:rsidRDefault="00AB76F8" w:rsidP="00AB76F8">
      <w:pPr>
        <w:pStyle w:val="Question"/>
        <w:keepNext/>
        <w:spacing w:after="20"/>
        <w:rPr>
          <w:rFonts w:ascii="Verdana" w:hAnsi="Verdana"/>
          <w:b/>
        </w:rPr>
      </w:pPr>
      <w:r>
        <w:rPr>
          <w:rFonts w:ascii="Verdana" w:hAnsi="Verdana"/>
          <w:b/>
        </w:rPr>
        <w:tab/>
      </w:r>
      <w:r w:rsidR="00A93AEA">
        <w:rPr>
          <w:rFonts w:ascii="Verdana" w:hAnsi="Verdana"/>
          <w:b/>
        </w:rPr>
        <w:t>2.</w:t>
      </w:r>
      <w:r w:rsidR="004346DC">
        <w:rPr>
          <w:rFonts w:ascii="Verdana" w:hAnsi="Verdana"/>
          <w:b/>
        </w:rPr>
        <w:t>5</w:t>
      </w:r>
      <w:r w:rsidR="00A93AEA" w:rsidRPr="00443DF6">
        <w:rPr>
          <w:rFonts w:ascii="Verdana" w:hAnsi="Verdana"/>
          <w:b/>
        </w:rPr>
        <w:tab/>
      </w:r>
      <w:r>
        <w:rPr>
          <w:rFonts w:ascii="Verdana" w:hAnsi="Verdana"/>
          <w:b/>
        </w:rPr>
        <w:t>For applications on consolidated basis, please specify the FRN and name of the consolidating UK parent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072F7BF2"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A50EBE0" w14:textId="6CC5F155" w:rsidR="00EF4F5F" w:rsidRPr="00862EE7" w:rsidRDefault="00EF4F5F" w:rsidP="00995704">
            <w:pPr>
              <w:pStyle w:val="QspromptChar"/>
              <w:keepNext/>
              <w:ind w:left="0"/>
              <w:rPr>
                <w:rFonts w:ascii="Verdana" w:hAnsi="Verdana"/>
              </w:rPr>
            </w:pPr>
            <w:r>
              <w:rPr>
                <w:rFonts w:ascii="Verdana" w:hAnsi="Verdana"/>
              </w:rPr>
              <w:t>FRN</w:t>
            </w:r>
          </w:p>
        </w:tc>
        <w:tc>
          <w:tcPr>
            <w:tcW w:w="5103" w:type="dxa"/>
            <w:tcBorders>
              <w:left w:val="nil"/>
              <w:bottom w:val="single" w:sz="4" w:space="0" w:color="auto"/>
            </w:tcBorders>
            <w:vAlign w:val="center"/>
          </w:tcPr>
          <w:p w14:paraId="5D75B1B6" w14:textId="2530B33F"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3B2AAD0" w14:textId="77777777" w:rsidR="00EF4F5F" w:rsidRPr="00862EE7" w:rsidRDefault="00EF4F5F" w:rsidP="00EF4F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51AB1784"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384FB45F" w14:textId="29C8DC0C" w:rsidR="00EF4F5F" w:rsidRPr="00862EE7" w:rsidRDefault="00EF4F5F" w:rsidP="00995704">
            <w:pPr>
              <w:pStyle w:val="QspromptChar"/>
              <w:keepNext/>
              <w:rPr>
                <w:rFonts w:ascii="Verdana" w:hAnsi="Verdana"/>
              </w:rPr>
            </w:pPr>
            <w:r>
              <w:rPr>
                <w:rFonts w:ascii="Verdana" w:hAnsi="Verdana"/>
              </w:rPr>
              <w:t>Firm name</w:t>
            </w:r>
          </w:p>
        </w:tc>
        <w:tc>
          <w:tcPr>
            <w:tcW w:w="5103" w:type="dxa"/>
            <w:tcBorders>
              <w:left w:val="nil"/>
              <w:bottom w:val="single" w:sz="4" w:space="0" w:color="auto"/>
            </w:tcBorders>
            <w:vAlign w:val="center"/>
          </w:tcPr>
          <w:p w14:paraId="64C76CF0" w14:textId="4F4BBAE9"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3F27156" w14:textId="5A3D8E42" w:rsidR="00980F6E" w:rsidRPr="009B73CA" w:rsidRDefault="00980F6E" w:rsidP="007761A2">
      <w:pPr>
        <w:pStyle w:val="Question"/>
        <w:keepNext/>
        <w:spacing w:after="20"/>
        <w:rPr>
          <w:rFonts w:ascii="Verdana" w:hAnsi="Verdana"/>
          <w:b/>
        </w:rPr>
      </w:pPr>
      <w:r>
        <w:rPr>
          <w:rFonts w:ascii="Verdana" w:hAnsi="Verdana"/>
          <w:b/>
        </w:rPr>
        <w:tab/>
        <w:t>2.</w:t>
      </w:r>
      <w:r w:rsidR="007761A2">
        <w:rPr>
          <w:rFonts w:ascii="Verdana" w:hAnsi="Verdana"/>
          <w:b/>
        </w:rPr>
        <w:t>6</w:t>
      </w:r>
      <w:r>
        <w:rPr>
          <w:rFonts w:ascii="Verdana" w:hAnsi="Verdana"/>
          <w:b/>
        </w:rPr>
        <w:tab/>
      </w:r>
      <w:r w:rsidR="007761A2" w:rsidRPr="007761A2">
        <w:rPr>
          <w:rFonts w:ascii="Verdana" w:hAnsi="Verdana"/>
          <w:b/>
        </w:rPr>
        <w:t>Please explain how the applicant firm, and other group undertakings in scope of this application (if applicable), meet the relevant conditions for the use of internal model specified in Part Three, Title IV, Chapter 5 of the UK CRR as it applied on 31 December 2021.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0F6E" w:rsidRPr="00862EE7" w14:paraId="7BAF7441" w14:textId="77777777" w:rsidTr="00995704">
        <w:trPr>
          <w:trHeight w:val="1392"/>
        </w:trPr>
        <w:tc>
          <w:tcPr>
            <w:tcW w:w="7088" w:type="dxa"/>
          </w:tcPr>
          <w:p w14:paraId="16F2CD02" w14:textId="77777777" w:rsidR="00980F6E" w:rsidRPr="00862EE7" w:rsidRDefault="00980F6E"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DF5F6ED" w14:textId="2E773BB1" w:rsidR="007761A2" w:rsidRPr="009B73CA" w:rsidRDefault="007761A2" w:rsidP="007761A2">
      <w:pPr>
        <w:pStyle w:val="Question"/>
        <w:keepNext/>
        <w:spacing w:after="20"/>
        <w:rPr>
          <w:rFonts w:ascii="Verdana" w:hAnsi="Verdana"/>
          <w:b/>
        </w:rPr>
      </w:pPr>
      <w:r>
        <w:rPr>
          <w:rFonts w:ascii="Verdana" w:hAnsi="Verdana"/>
          <w:b/>
        </w:rPr>
        <w:tab/>
        <w:t>2.7</w:t>
      </w:r>
      <w:r>
        <w:rPr>
          <w:rFonts w:ascii="Verdana" w:hAnsi="Verdana"/>
          <w:b/>
        </w:rPr>
        <w:tab/>
      </w:r>
      <w:r w:rsidR="00436455" w:rsidRPr="00436455">
        <w:rPr>
          <w:rFonts w:ascii="Verdana" w:hAnsi="Verdana"/>
          <w:b/>
        </w:rPr>
        <w:t>Please explain how the internal model this application relates to covers a significant share of the positions of each relevant risk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761A2" w:rsidRPr="00862EE7" w14:paraId="4AC6777D" w14:textId="77777777" w:rsidTr="00995704">
        <w:trPr>
          <w:trHeight w:val="1392"/>
        </w:trPr>
        <w:tc>
          <w:tcPr>
            <w:tcW w:w="7088" w:type="dxa"/>
          </w:tcPr>
          <w:p w14:paraId="000E9714" w14:textId="77777777" w:rsidR="007761A2" w:rsidRPr="00862EE7" w:rsidRDefault="007761A2"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415CF69" w14:textId="4C06C150" w:rsidR="005E5DE1" w:rsidRDefault="005E5DE1" w:rsidP="005E5DE1">
      <w:pPr>
        <w:pStyle w:val="Question"/>
        <w:keepNext/>
        <w:spacing w:after="20"/>
        <w:rPr>
          <w:rFonts w:ascii="Verdana" w:hAnsi="Verdana"/>
          <w:b/>
        </w:rPr>
      </w:pPr>
      <w:r w:rsidRPr="008C3500">
        <w:rPr>
          <w:rFonts w:ascii="Verdana" w:hAnsi="Verdana"/>
          <w:b/>
        </w:rPr>
        <w:t>2.8</w:t>
      </w:r>
      <w:r w:rsidRPr="008C3500">
        <w:rPr>
          <w:rFonts w:ascii="Verdana" w:hAnsi="Verdana"/>
          <w:b/>
        </w:rPr>
        <w:tab/>
      </w:r>
      <w:r w:rsidRPr="008C3500">
        <w:rPr>
          <w:rFonts w:ascii="Verdana" w:hAnsi="Verdana"/>
          <w:b/>
        </w:rPr>
        <w:tab/>
        <w:t>Proposed implementation date (date from which the applicant firm propose to start using the model, subject to receiving the necessary approval)</w:t>
      </w:r>
      <w:r w:rsidR="008C3500" w:rsidRPr="008C3500">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865D4" w:rsidRPr="00DF0A6F" w14:paraId="1D466872" w14:textId="77777777" w:rsidTr="00A95E7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1125287"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F4A902"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30492C2"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17F0A66"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BEB070" w14:textId="6F2DC51B"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B839A2B"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2BE4987"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1774B8"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E584EC"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290F8E" w14:textId="77777777" w:rsidR="00A865D4" w:rsidRPr="00DF0A6F" w:rsidRDefault="00A865D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r>
    </w:tbl>
    <w:p w14:paraId="484DF5A2" w14:textId="39710F90" w:rsidR="00630C0F" w:rsidRDefault="00630C0F" w:rsidP="00630C0F">
      <w:pPr>
        <w:pStyle w:val="Question"/>
        <w:keepNext/>
        <w:spacing w:after="20"/>
        <w:rPr>
          <w:rFonts w:ascii="Verdana" w:hAnsi="Verdana"/>
          <w:b/>
        </w:rPr>
      </w:pPr>
      <w:r>
        <w:rPr>
          <w:rFonts w:ascii="Verdana" w:hAnsi="Verdana"/>
          <w:b/>
        </w:rPr>
        <w:t>2.9</w:t>
      </w:r>
      <w:r>
        <w:rPr>
          <w:rFonts w:ascii="Verdana" w:hAnsi="Verdana"/>
          <w:b/>
        </w:rPr>
        <w:tab/>
      </w:r>
      <w:r>
        <w:rPr>
          <w:rFonts w:ascii="Verdana" w:hAnsi="Verdana"/>
          <w:b/>
        </w:rPr>
        <w:tab/>
      </w:r>
      <w:r w:rsidRPr="00630C0F">
        <w:rPr>
          <w:rFonts w:ascii="Verdana" w:hAnsi="Verdana"/>
          <w:b/>
        </w:rPr>
        <w:t>Please attach the following information to support your application</w:t>
      </w:r>
    </w:p>
    <w:p w14:paraId="71D53339" w14:textId="1333DD29" w:rsidR="00630C0F" w:rsidRDefault="00630C0F" w:rsidP="00055824">
      <w:pPr>
        <w:pStyle w:val="QsyesnoCharChar"/>
        <w:keepNext/>
        <w:numPr>
          <w:ilvl w:val="0"/>
          <w:numId w:val="28"/>
        </w:numPr>
        <w:tabs>
          <w:tab w:val="clear" w:pos="851"/>
          <w:tab w:val="left" w:pos="709"/>
        </w:tabs>
        <w:ind w:left="284"/>
        <w:rPr>
          <w:rFonts w:ascii="Verdana" w:hAnsi="Verdana"/>
          <w:szCs w:val="18"/>
        </w:rPr>
      </w:pPr>
      <w:r w:rsidRPr="00630C0F">
        <w:rPr>
          <w:rFonts w:ascii="Verdana" w:hAnsi="Verdana"/>
          <w:szCs w:val="18"/>
        </w:rPr>
        <w:t>Organisational charts for all functions that either execute trading activities or execute a control function over trading activities including internal audit.</w:t>
      </w:r>
    </w:p>
    <w:p w14:paraId="47B835AD" w14:textId="00B8FCD9" w:rsidR="00021508" w:rsidRDefault="00021508" w:rsidP="00021508">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69728D">
        <w:rPr>
          <w:rFonts w:ascii="Verdana" w:hAnsi="Verdana"/>
          <w:szCs w:val="18"/>
        </w:rPr>
        <w:t>Attached</w:t>
      </w:r>
    </w:p>
    <w:p w14:paraId="274D3372" w14:textId="77777777" w:rsidR="00021508" w:rsidRPr="00630C0F" w:rsidRDefault="00021508" w:rsidP="00021508">
      <w:pPr>
        <w:pStyle w:val="QsyesnoCharChar"/>
        <w:keepNext/>
        <w:tabs>
          <w:tab w:val="clear" w:pos="851"/>
          <w:tab w:val="left" w:pos="709"/>
        </w:tabs>
        <w:rPr>
          <w:rFonts w:ascii="Verdana" w:hAnsi="Verdana"/>
          <w:szCs w:val="18"/>
        </w:rPr>
      </w:pPr>
    </w:p>
    <w:p w14:paraId="1B1AF6B7" w14:textId="24B16086" w:rsidR="00630C0F" w:rsidRDefault="00630C0F" w:rsidP="000A563F">
      <w:pPr>
        <w:pStyle w:val="QsyesnoCharChar"/>
        <w:keepNext/>
        <w:numPr>
          <w:ilvl w:val="0"/>
          <w:numId w:val="28"/>
        </w:numPr>
        <w:tabs>
          <w:tab w:val="clear" w:pos="851"/>
          <w:tab w:val="left" w:pos="709"/>
        </w:tabs>
        <w:ind w:left="284"/>
        <w:rPr>
          <w:rFonts w:ascii="Verdana" w:hAnsi="Verdana"/>
          <w:szCs w:val="18"/>
        </w:rPr>
      </w:pPr>
      <w:r w:rsidRPr="00630C0F">
        <w:rPr>
          <w:rFonts w:ascii="Verdana" w:hAnsi="Verdana"/>
          <w:szCs w:val="18"/>
        </w:rPr>
        <w:t>A list of all policies that govern activities by all of the above functions.</w:t>
      </w:r>
    </w:p>
    <w:p w14:paraId="43D0BF75" w14:textId="5D4902D0" w:rsidR="00021508" w:rsidRDefault="00021508" w:rsidP="00021508">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69728D">
        <w:rPr>
          <w:rFonts w:ascii="Verdana" w:hAnsi="Verdana"/>
          <w:szCs w:val="18"/>
        </w:rPr>
        <w:t>Attached</w:t>
      </w:r>
    </w:p>
    <w:p w14:paraId="487049F0" w14:textId="77777777" w:rsidR="00021508" w:rsidRPr="00630C0F" w:rsidRDefault="00021508" w:rsidP="00021508">
      <w:pPr>
        <w:pStyle w:val="QsyesnoCharChar"/>
        <w:keepNext/>
        <w:tabs>
          <w:tab w:val="clear" w:pos="851"/>
          <w:tab w:val="left" w:pos="709"/>
        </w:tabs>
        <w:rPr>
          <w:rFonts w:ascii="Verdana" w:hAnsi="Verdana"/>
          <w:szCs w:val="18"/>
        </w:rPr>
      </w:pPr>
    </w:p>
    <w:p w14:paraId="74777842" w14:textId="79FD63C5" w:rsidR="00630C0F" w:rsidRDefault="00630C0F" w:rsidP="00055824">
      <w:pPr>
        <w:pStyle w:val="QsyesnoCharChar"/>
        <w:keepNext/>
        <w:numPr>
          <w:ilvl w:val="0"/>
          <w:numId w:val="28"/>
        </w:numPr>
        <w:tabs>
          <w:tab w:val="clear" w:pos="851"/>
          <w:tab w:val="left" w:pos="709"/>
        </w:tabs>
        <w:ind w:left="284"/>
        <w:rPr>
          <w:rFonts w:ascii="Verdana" w:hAnsi="Verdana"/>
          <w:szCs w:val="18"/>
        </w:rPr>
      </w:pPr>
      <w:r w:rsidRPr="00630C0F">
        <w:rPr>
          <w:rFonts w:ascii="Verdana" w:hAnsi="Verdana"/>
          <w:szCs w:val="18"/>
        </w:rPr>
        <w:t>List of all meetings where trading activities and the activities of control functions are discussed (we may request minutes and supporting documentation for some of these meetings).</w:t>
      </w:r>
    </w:p>
    <w:p w14:paraId="08E970B5" w14:textId="54FDDC19" w:rsidR="00021508" w:rsidRDefault="00021508" w:rsidP="00021508">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69728D">
        <w:rPr>
          <w:rFonts w:ascii="Verdana" w:hAnsi="Verdana"/>
          <w:szCs w:val="18"/>
        </w:rPr>
        <w:t>Attached</w:t>
      </w:r>
    </w:p>
    <w:p w14:paraId="4823F6BC" w14:textId="1CFF0863" w:rsidR="00021508" w:rsidRPr="00630C0F" w:rsidRDefault="00021508" w:rsidP="00021508">
      <w:pPr>
        <w:pStyle w:val="QsyesnoCharChar"/>
        <w:keepNext/>
        <w:tabs>
          <w:tab w:val="clear" w:pos="851"/>
          <w:tab w:val="left" w:pos="709"/>
        </w:tabs>
        <w:rPr>
          <w:rFonts w:ascii="Verdana" w:hAnsi="Verdana"/>
          <w:szCs w:val="18"/>
        </w:rPr>
      </w:pPr>
    </w:p>
    <w:p w14:paraId="264D7B82" w14:textId="60A7A2FE" w:rsidR="00630C0F" w:rsidRDefault="00630C0F" w:rsidP="00055824">
      <w:pPr>
        <w:pStyle w:val="QsyesnoCharChar"/>
        <w:keepNext/>
        <w:numPr>
          <w:ilvl w:val="0"/>
          <w:numId w:val="28"/>
        </w:numPr>
        <w:tabs>
          <w:tab w:val="clear" w:pos="851"/>
          <w:tab w:val="left" w:pos="709"/>
        </w:tabs>
        <w:ind w:left="284"/>
        <w:rPr>
          <w:rFonts w:ascii="Verdana" w:hAnsi="Verdana"/>
          <w:szCs w:val="18"/>
        </w:rPr>
      </w:pPr>
      <w:r w:rsidRPr="00021508">
        <w:rPr>
          <w:rFonts w:ascii="Verdana" w:hAnsi="Verdana"/>
          <w:szCs w:val="18"/>
        </w:rPr>
        <w:t>6 months of front-office profit/loss (P/L) flashes and all subsequent P/L reporting for the same period.</w:t>
      </w:r>
    </w:p>
    <w:p w14:paraId="2C12D3BD" w14:textId="04477435" w:rsidR="00D678F7" w:rsidRDefault="00021508" w:rsidP="00705D59">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p w14:paraId="490F2FAA" w14:textId="77777777" w:rsidR="000A563F" w:rsidRDefault="000A563F" w:rsidP="000A563F">
      <w:pPr>
        <w:pStyle w:val="QsyesnoCharChar"/>
        <w:keepNext/>
        <w:tabs>
          <w:tab w:val="clear" w:pos="851"/>
          <w:tab w:val="left" w:pos="709"/>
        </w:tabs>
        <w:ind w:left="284"/>
        <w:rPr>
          <w:rFonts w:ascii="Verdana" w:hAnsi="Verdana"/>
          <w:szCs w:val="18"/>
        </w:rPr>
      </w:pPr>
    </w:p>
    <w:p w14:paraId="0587E3B3" w14:textId="3F12A34A" w:rsidR="00630C0F" w:rsidRPr="00D678F7" w:rsidRDefault="00630C0F" w:rsidP="00055824">
      <w:pPr>
        <w:pStyle w:val="QsyesnoCharChar"/>
        <w:keepNext/>
        <w:numPr>
          <w:ilvl w:val="0"/>
          <w:numId w:val="28"/>
        </w:numPr>
        <w:tabs>
          <w:tab w:val="clear" w:pos="851"/>
          <w:tab w:val="left" w:pos="709"/>
        </w:tabs>
        <w:ind w:left="284"/>
        <w:rPr>
          <w:rFonts w:ascii="Verdana" w:hAnsi="Verdana"/>
          <w:szCs w:val="18"/>
        </w:rPr>
      </w:pPr>
      <w:r w:rsidRPr="00D678F7">
        <w:rPr>
          <w:rFonts w:ascii="Verdana" w:hAnsi="Verdana"/>
          <w:szCs w:val="18"/>
        </w:rPr>
        <w:t>All management reporting by finance and product control functions for 6 months that:</w:t>
      </w:r>
    </w:p>
    <w:p w14:paraId="493709B7" w14:textId="77777777" w:rsidR="00630C0F" w:rsidRPr="00D678F7" w:rsidRDefault="00630C0F" w:rsidP="00D678F7">
      <w:pPr>
        <w:pStyle w:val="QsyesnoCharChar"/>
        <w:keepNext/>
        <w:numPr>
          <w:ilvl w:val="1"/>
          <w:numId w:val="29"/>
        </w:numPr>
        <w:tabs>
          <w:tab w:val="clear" w:pos="851"/>
          <w:tab w:val="left" w:pos="709"/>
        </w:tabs>
        <w:rPr>
          <w:rFonts w:ascii="Verdana" w:hAnsi="Verdana"/>
          <w:szCs w:val="18"/>
        </w:rPr>
      </w:pPr>
      <w:r w:rsidRPr="00D678F7">
        <w:rPr>
          <w:rFonts w:ascii="Verdana" w:hAnsi="Verdana"/>
          <w:szCs w:val="18"/>
        </w:rPr>
        <w:t>Provide P/L explanations</w:t>
      </w:r>
    </w:p>
    <w:p w14:paraId="5F7C9A74" w14:textId="77777777" w:rsidR="00630C0F" w:rsidRPr="00D678F7" w:rsidRDefault="00630C0F" w:rsidP="00D678F7">
      <w:pPr>
        <w:pStyle w:val="QsyesnoCharChar"/>
        <w:keepNext/>
        <w:numPr>
          <w:ilvl w:val="1"/>
          <w:numId w:val="29"/>
        </w:numPr>
        <w:tabs>
          <w:tab w:val="clear" w:pos="851"/>
          <w:tab w:val="left" w:pos="709"/>
        </w:tabs>
        <w:rPr>
          <w:rFonts w:ascii="Verdana" w:hAnsi="Verdana"/>
          <w:szCs w:val="18"/>
        </w:rPr>
      </w:pPr>
      <w:r w:rsidRPr="00D678F7">
        <w:rPr>
          <w:rFonts w:ascii="Verdana" w:hAnsi="Verdana"/>
          <w:szCs w:val="18"/>
        </w:rPr>
        <w:t>Validate trade booking and any necessary adjustments</w:t>
      </w:r>
    </w:p>
    <w:p w14:paraId="4A3E4056" w14:textId="77777777" w:rsidR="00630C0F" w:rsidRPr="00D678F7" w:rsidRDefault="00630C0F" w:rsidP="00D678F7">
      <w:pPr>
        <w:pStyle w:val="QsyesnoCharChar"/>
        <w:keepNext/>
        <w:numPr>
          <w:ilvl w:val="1"/>
          <w:numId w:val="29"/>
        </w:numPr>
        <w:tabs>
          <w:tab w:val="clear" w:pos="851"/>
          <w:tab w:val="left" w:pos="709"/>
        </w:tabs>
        <w:rPr>
          <w:rFonts w:ascii="Verdana" w:hAnsi="Verdana"/>
          <w:szCs w:val="18"/>
        </w:rPr>
      </w:pPr>
      <w:r w:rsidRPr="00D678F7">
        <w:rPr>
          <w:rFonts w:ascii="Verdana" w:hAnsi="Verdana"/>
          <w:szCs w:val="18"/>
        </w:rPr>
        <w:t>Contain monthly confirmation of position reconciliations</w:t>
      </w:r>
    </w:p>
    <w:p w14:paraId="5137082B" w14:textId="445A6F72" w:rsidR="00630C0F" w:rsidRPr="00D678F7" w:rsidRDefault="00630C0F" w:rsidP="00D678F7">
      <w:pPr>
        <w:pStyle w:val="QsyesnoCharChar"/>
        <w:keepNext/>
        <w:numPr>
          <w:ilvl w:val="1"/>
          <w:numId w:val="29"/>
        </w:numPr>
        <w:tabs>
          <w:tab w:val="clear" w:pos="851"/>
          <w:tab w:val="left" w:pos="709"/>
        </w:tabs>
        <w:rPr>
          <w:rFonts w:ascii="Verdana" w:hAnsi="Verdana"/>
          <w:szCs w:val="18"/>
        </w:rPr>
      </w:pPr>
      <w:r w:rsidRPr="00D678F7">
        <w:rPr>
          <w:rFonts w:ascii="Verdana" w:hAnsi="Verdana"/>
          <w:szCs w:val="18"/>
        </w:rPr>
        <w:t>Contain monthly price testing reports</w:t>
      </w:r>
    </w:p>
    <w:p w14:paraId="5C72445A" w14:textId="3A91507B" w:rsidR="00021508" w:rsidRPr="00D678F7" w:rsidRDefault="00D678F7" w:rsidP="00D678F7">
      <w:pPr>
        <w:pStyle w:val="QsyesnoCharChar"/>
        <w:keepNext/>
        <w:tabs>
          <w:tab w:val="clear" w:pos="851"/>
          <w:tab w:val="left" w:pos="709"/>
        </w:tabs>
        <w:rPr>
          <w:rFonts w:ascii="Verdana" w:hAnsi="Verdana"/>
          <w:szCs w:val="18"/>
        </w:rPr>
      </w:pPr>
      <w:r>
        <w:rPr>
          <w:rFonts w:ascii="Verdana" w:hAnsi="Verdana"/>
          <w:szCs w:val="18"/>
        </w:rPr>
        <w:tab/>
      </w:r>
      <w:r w:rsidR="00021508" w:rsidRPr="00122606">
        <w:rPr>
          <w:rFonts w:ascii="Verdana" w:hAnsi="Verdana"/>
          <w:szCs w:val="18"/>
        </w:rPr>
        <w:fldChar w:fldCharType="begin">
          <w:ffData>
            <w:name w:val="Check15"/>
            <w:enabled/>
            <w:calcOnExit w:val="0"/>
            <w:checkBox>
              <w:sizeAuto/>
              <w:default w:val="0"/>
            </w:checkBox>
          </w:ffData>
        </w:fldChar>
      </w:r>
      <w:r w:rsidR="00021508"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00021508" w:rsidRPr="00122606">
        <w:rPr>
          <w:rFonts w:ascii="Verdana" w:hAnsi="Verdana"/>
          <w:szCs w:val="18"/>
        </w:rPr>
        <w:fldChar w:fldCharType="end"/>
      </w:r>
      <w:r w:rsidR="00021508" w:rsidRPr="00122606">
        <w:rPr>
          <w:rFonts w:ascii="Verdana" w:hAnsi="Verdana"/>
          <w:szCs w:val="18"/>
        </w:rPr>
        <w:t xml:space="preserve"> </w:t>
      </w:r>
      <w:r w:rsidR="00055824">
        <w:rPr>
          <w:rFonts w:ascii="Verdana" w:hAnsi="Verdana"/>
          <w:szCs w:val="18"/>
        </w:rPr>
        <w:t>Attached</w:t>
      </w:r>
    </w:p>
    <w:p w14:paraId="6360ECA7" w14:textId="77777777" w:rsidR="00D678F7" w:rsidRDefault="00D678F7" w:rsidP="00D678F7">
      <w:pPr>
        <w:pStyle w:val="QsyesnoCharChar"/>
        <w:keepNext/>
        <w:tabs>
          <w:tab w:val="clear" w:pos="851"/>
          <w:tab w:val="left" w:pos="709"/>
        </w:tabs>
        <w:ind w:left="720"/>
        <w:rPr>
          <w:rFonts w:ascii="Verdana" w:hAnsi="Verdana"/>
          <w:szCs w:val="18"/>
        </w:rPr>
      </w:pPr>
    </w:p>
    <w:p w14:paraId="47414D29" w14:textId="2BD69D65" w:rsidR="00630C0F" w:rsidRPr="00D678F7" w:rsidRDefault="00630C0F" w:rsidP="00D678F7">
      <w:pPr>
        <w:pStyle w:val="QsyesnoCharChar"/>
        <w:keepNext/>
        <w:numPr>
          <w:ilvl w:val="0"/>
          <w:numId w:val="28"/>
        </w:numPr>
        <w:tabs>
          <w:tab w:val="clear" w:pos="851"/>
          <w:tab w:val="left" w:pos="709"/>
        </w:tabs>
        <w:rPr>
          <w:rFonts w:ascii="Verdana" w:hAnsi="Verdana"/>
          <w:szCs w:val="18"/>
        </w:rPr>
      </w:pPr>
      <w:r w:rsidRPr="00D678F7">
        <w:rPr>
          <w:rFonts w:ascii="Verdana" w:hAnsi="Verdana"/>
          <w:szCs w:val="18"/>
        </w:rPr>
        <w:t>All management reporting by Risk Management staff, including:</w:t>
      </w:r>
    </w:p>
    <w:p w14:paraId="2F39FB2E" w14:textId="77777777" w:rsidR="00630C0F" w:rsidRPr="00D678F7" w:rsidRDefault="00630C0F" w:rsidP="00D678F7">
      <w:pPr>
        <w:pStyle w:val="QsyesnoCharChar"/>
        <w:keepNext/>
        <w:numPr>
          <w:ilvl w:val="0"/>
          <w:numId w:val="30"/>
        </w:numPr>
        <w:tabs>
          <w:tab w:val="clear" w:pos="851"/>
          <w:tab w:val="left" w:pos="709"/>
        </w:tabs>
        <w:rPr>
          <w:rFonts w:ascii="Verdana" w:hAnsi="Verdana"/>
          <w:szCs w:val="18"/>
        </w:rPr>
      </w:pPr>
      <w:r w:rsidRPr="00D678F7">
        <w:rPr>
          <w:rFonts w:ascii="Verdana" w:hAnsi="Verdana"/>
          <w:szCs w:val="18"/>
        </w:rPr>
        <w:t>A list of all market risk limits currently in place</w:t>
      </w:r>
    </w:p>
    <w:p w14:paraId="5E65F305" w14:textId="77777777" w:rsidR="00630C0F" w:rsidRPr="00D678F7" w:rsidRDefault="00630C0F" w:rsidP="00D678F7">
      <w:pPr>
        <w:pStyle w:val="QsyesnoCharChar"/>
        <w:keepNext/>
        <w:numPr>
          <w:ilvl w:val="0"/>
          <w:numId w:val="30"/>
        </w:numPr>
        <w:tabs>
          <w:tab w:val="clear" w:pos="851"/>
          <w:tab w:val="left" w:pos="709"/>
        </w:tabs>
        <w:rPr>
          <w:rFonts w:ascii="Verdana" w:hAnsi="Verdana"/>
          <w:szCs w:val="18"/>
        </w:rPr>
      </w:pPr>
      <w:r w:rsidRPr="00D678F7">
        <w:rPr>
          <w:rFonts w:ascii="Verdana" w:hAnsi="Verdana"/>
          <w:szCs w:val="18"/>
        </w:rPr>
        <w:t>All market risk reporting concerning limits</w:t>
      </w:r>
    </w:p>
    <w:p w14:paraId="0828E275" w14:textId="09A723DA" w:rsidR="00630C0F" w:rsidRPr="00D678F7" w:rsidRDefault="00630C0F" w:rsidP="00D678F7">
      <w:pPr>
        <w:pStyle w:val="QsyesnoCharChar"/>
        <w:keepNext/>
        <w:numPr>
          <w:ilvl w:val="0"/>
          <w:numId w:val="30"/>
        </w:numPr>
        <w:tabs>
          <w:tab w:val="clear" w:pos="851"/>
          <w:tab w:val="left" w:pos="709"/>
        </w:tabs>
        <w:rPr>
          <w:rFonts w:ascii="Verdana" w:hAnsi="Verdana"/>
          <w:szCs w:val="18"/>
        </w:rPr>
      </w:pPr>
      <w:r w:rsidRPr="00D678F7">
        <w:rPr>
          <w:rFonts w:ascii="Verdana" w:hAnsi="Verdana"/>
          <w:szCs w:val="18"/>
        </w:rPr>
        <w:t>All changes to market risk limits in the past 6 months along with any supporting documentation</w:t>
      </w:r>
    </w:p>
    <w:p w14:paraId="6C17148B" w14:textId="25755094" w:rsidR="00021508" w:rsidRPr="00D678F7" w:rsidRDefault="00D678F7" w:rsidP="00D678F7">
      <w:pPr>
        <w:pStyle w:val="QsyesnoCharChar"/>
        <w:keepNext/>
        <w:tabs>
          <w:tab w:val="clear" w:pos="851"/>
          <w:tab w:val="left" w:pos="709"/>
        </w:tabs>
        <w:rPr>
          <w:rFonts w:ascii="Verdana" w:hAnsi="Verdana"/>
          <w:szCs w:val="18"/>
        </w:rPr>
      </w:pPr>
      <w:r>
        <w:rPr>
          <w:rFonts w:ascii="Verdana" w:hAnsi="Verdana"/>
          <w:szCs w:val="18"/>
        </w:rPr>
        <w:tab/>
      </w:r>
      <w:r w:rsidR="00021508" w:rsidRPr="00122606">
        <w:rPr>
          <w:rFonts w:ascii="Verdana" w:hAnsi="Verdana"/>
          <w:szCs w:val="18"/>
        </w:rPr>
        <w:fldChar w:fldCharType="begin">
          <w:ffData>
            <w:name w:val="Check15"/>
            <w:enabled/>
            <w:calcOnExit w:val="0"/>
            <w:checkBox>
              <w:sizeAuto/>
              <w:default w:val="0"/>
            </w:checkBox>
          </w:ffData>
        </w:fldChar>
      </w:r>
      <w:r w:rsidR="00021508"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00021508" w:rsidRPr="00122606">
        <w:rPr>
          <w:rFonts w:ascii="Verdana" w:hAnsi="Verdana"/>
          <w:szCs w:val="18"/>
        </w:rPr>
        <w:fldChar w:fldCharType="end"/>
      </w:r>
      <w:r w:rsidR="00021508" w:rsidRPr="00122606">
        <w:rPr>
          <w:rFonts w:ascii="Verdana" w:hAnsi="Verdana"/>
          <w:szCs w:val="18"/>
        </w:rPr>
        <w:t xml:space="preserve"> </w:t>
      </w:r>
      <w:r w:rsidR="00055824">
        <w:rPr>
          <w:rFonts w:ascii="Verdana" w:hAnsi="Verdana"/>
          <w:szCs w:val="18"/>
        </w:rPr>
        <w:t>Attached</w:t>
      </w:r>
    </w:p>
    <w:p w14:paraId="6B1406B4" w14:textId="77777777" w:rsidR="00D678F7" w:rsidRDefault="00D678F7" w:rsidP="00D678F7">
      <w:pPr>
        <w:pStyle w:val="QsyesnoCharChar"/>
        <w:keepNext/>
        <w:tabs>
          <w:tab w:val="clear" w:pos="851"/>
          <w:tab w:val="left" w:pos="709"/>
        </w:tabs>
        <w:ind w:left="720"/>
        <w:rPr>
          <w:rFonts w:ascii="Verdana" w:hAnsi="Verdana"/>
          <w:szCs w:val="18"/>
        </w:rPr>
      </w:pPr>
    </w:p>
    <w:p w14:paraId="23845B9A" w14:textId="66A4682B" w:rsidR="00630C0F" w:rsidRPr="00D678F7" w:rsidRDefault="00630C0F" w:rsidP="00055824">
      <w:pPr>
        <w:pStyle w:val="QsyesnoCharChar"/>
        <w:keepNext/>
        <w:numPr>
          <w:ilvl w:val="0"/>
          <w:numId w:val="28"/>
        </w:numPr>
        <w:tabs>
          <w:tab w:val="clear" w:pos="851"/>
          <w:tab w:val="left" w:pos="709"/>
        </w:tabs>
        <w:ind w:left="284"/>
        <w:rPr>
          <w:rFonts w:ascii="Verdana" w:hAnsi="Verdana"/>
          <w:szCs w:val="18"/>
        </w:rPr>
      </w:pPr>
      <w:r w:rsidRPr="00D678F7">
        <w:rPr>
          <w:rFonts w:ascii="Verdana" w:hAnsi="Verdana"/>
          <w:szCs w:val="18"/>
        </w:rPr>
        <w:t>All documentation related to the advanced market risk model (VAR), including:</w:t>
      </w:r>
    </w:p>
    <w:p w14:paraId="27BAE628"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Model description</w:t>
      </w:r>
    </w:p>
    <w:p w14:paraId="481C63BF"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Model validation</w:t>
      </w:r>
    </w:p>
    <w:p w14:paraId="042B80B7"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List of all pricing models used within the advanced market risk model</w:t>
      </w:r>
    </w:p>
    <w:p w14:paraId="13F5964B"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List of model validation documents for (iii) and the date of last review</w:t>
      </w:r>
    </w:p>
    <w:p w14:paraId="4F937C5C"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List of all risks not captured by the advanced market risk model</w:t>
      </w:r>
    </w:p>
    <w:p w14:paraId="6816A957" w14:textId="77777777"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List of all documentation describing how items in (v) are estimated</w:t>
      </w:r>
    </w:p>
    <w:p w14:paraId="486B593A" w14:textId="502858A3" w:rsidR="00630C0F" w:rsidRPr="00D678F7" w:rsidRDefault="00630C0F" w:rsidP="00D678F7">
      <w:pPr>
        <w:pStyle w:val="QsyesnoCharChar"/>
        <w:keepNext/>
        <w:numPr>
          <w:ilvl w:val="0"/>
          <w:numId w:val="31"/>
        </w:numPr>
        <w:tabs>
          <w:tab w:val="clear" w:pos="851"/>
          <w:tab w:val="left" w:pos="709"/>
        </w:tabs>
        <w:rPr>
          <w:rFonts w:ascii="Verdana" w:hAnsi="Verdana"/>
          <w:szCs w:val="18"/>
        </w:rPr>
      </w:pPr>
      <w:r w:rsidRPr="00D678F7">
        <w:rPr>
          <w:rFonts w:ascii="Verdana" w:hAnsi="Verdana"/>
          <w:szCs w:val="18"/>
        </w:rPr>
        <w:t>List of all validation of items in (vi)</w:t>
      </w:r>
    </w:p>
    <w:p w14:paraId="36DD34CA" w14:textId="0A8B822E" w:rsidR="00021508" w:rsidRDefault="00021508" w:rsidP="00D678F7">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p w14:paraId="250DC60D" w14:textId="4C3D2A8A" w:rsidR="00A865D4" w:rsidRPr="00D678F7" w:rsidRDefault="000A563F" w:rsidP="00D678F7">
      <w:pPr>
        <w:pStyle w:val="QsyesnoCharChar"/>
        <w:keepNext/>
        <w:tabs>
          <w:tab w:val="clear" w:pos="851"/>
          <w:tab w:val="left" w:pos="709"/>
        </w:tabs>
        <w:rPr>
          <w:rFonts w:ascii="Verdana" w:hAnsi="Verdana"/>
          <w:szCs w:val="18"/>
        </w:rPr>
      </w:pPr>
      <w:r>
        <w:rPr>
          <w:rFonts w:ascii="Verdana" w:hAnsi="Verdana"/>
          <w:szCs w:val="18"/>
        </w:rPr>
        <w:br w:type="page"/>
      </w:r>
    </w:p>
    <w:p w14:paraId="594AF21E" w14:textId="77777777" w:rsidR="00630C0F" w:rsidRPr="00D678F7" w:rsidRDefault="00630C0F" w:rsidP="00055824">
      <w:pPr>
        <w:pStyle w:val="QsyesnoCharChar"/>
        <w:keepNext/>
        <w:numPr>
          <w:ilvl w:val="0"/>
          <w:numId w:val="28"/>
        </w:numPr>
        <w:tabs>
          <w:tab w:val="clear" w:pos="851"/>
          <w:tab w:val="left" w:pos="709"/>
        </w:tabs>
        <w:ind w:left="284"/>
        <w:rPr>
          <w:rFonts w:ascii="Verdana" w:hAnsi="Verdana"/>
          <w:szCs w:val="18"/>
        </w:rPr>
      </w:pPr>
      <w:r w:rsidRPr="00D678F7">
        <w:rPr>
          <w:rFonts w:ascii="Verdana" w:hAnsi="Verdana"/>
          <w:szCs w:val="18"/>
        </w:rPr>
        <w:t>Model output and pro-forma reporting for at least 3 months, which provides:</w:t>
      </w:r>
    </w:p>
    <w:p w14:paraId="2B373FE4" w14:textId="77777777" w:rsidR="00630C0F" w:rsidRPr="00D678F7" w:rsidRDefault="00630C0F" w:rsidP="00D678F7">
      <w:pPr>
        <w:pStyle w:val="QsyesnoCharChar"/>
        <w:keepNext/>
        <w:numPr>
          <w:ilvl w:val="0"/>
          <w:numId w:val="32"/>
        </w:numPr>
        <w:tabs>
          <w:tab w:val="clear" w:pos="851"/>
          <w:tab w:val="left" w:pos="709"/>
        </w:tabs>
        <w:rPr>
          <w:rFonts w:ascii="Verdana" w:hAnsi="Verdana"/>
          <w:szCs w:val="18"/>
        </w:rPr>
      </w:pPr>
      <w:r w:rsidRPr="00D678F7">
        <w:rPr>
          <w:rFonts w:ascii="Verdana" w:hAnsi="Verdana"/>
          <w:szCs w:val="18"/>
        </w:rPr>
        <w:t>A comparison of clean P/L, raw P/L and model output</w:t>
      </w:r>
    </w:p>
    <w:p w14:paraId="019AE340" w14:textId="77777777" w:rsidR="00630C0F" w:rsidRPr="00D678F7" w:rsidRDefault="00630C0F" w:rsidP="00D678F7">
      <w:pPr>
        <w:pStyle w:val="QsyesnoCharChar"/>
        <w:keepNext/>
        <w:numPr>
          <w:ilvl w:val="0"/>
          <w:numId w:val="32"/>
        </w:numPr>
        <w:tabs>
          <w:tab w:val="clear" w:pos="851"/>
          <w:tab w:val="left" w:pos="709"/>
        </w:tabs>
        <w:rPr>
          <w:rFonts w:ascii="Verdana" w:hAnsi="Verdana"/>
          <w:szCs w:val="18"/>
        </w:rPr>
      </w:pPr>
      <w:r w:rsidRPr="00D678F7">
        <w:rPr>
          <w:rFonts w:ascii="Verdana" w:hAnsi="Verdana"/>
          <w:szCs w:val="18"/>
        </w:rPr>
        <w:t>An explanation of significant deviations between clean P/L and raw P/L</w:t>
      </w:r>
    </w:p>
    <w:p w14:paraId="2E0CC46D" w14:textId="77777777" w:rsidR="00630C0F" w:rsidRPr="00D678F7" w:rsidRDefault="00630C0F" w:rsidP="00D678F7">
      <w:pPr>
        <w:pStyle w:val="QsyesnoCharChar"/>
        <w:keepNext/>
        <w:numPr>
          <w:ilvl w:val="0"/>
          <w:numId w:val="32"/>
        </w:numPr>
        <w:tabs>
          <w:tab w:val="clear" w:pos="851"/>
          <w:tab w:val="left" w:pos="709"/>
        </w:tabs>
        <w:rPr>
          <w:rFonts w:ascii="Verdana" w:hAnsi="Verdana"/>
          <w:szCs w:val="18"/>
        </w:rPr>
      </w:pPr>
      <w:r w:rsidRPr="00D678F7">
        <w:rPr>
          <w:rFonts w:ascii="Verdana" w:hAnsi="Verdana"/>
          <w:szCs w:val="18"/>
        </w:rPr>
        <w:t>An explanation of any exceptions</w:t>
      </w:r>
    </w:p>
    <w:p w14:paraId="3AD84997" w14:textId="0EDBB9D9" w:rsidR="00630C0F" w:rsidRPr="00D678F7" w:rsidRDefault="00630C0F" w:rsidP="00D678F7">
      <w:pPr>
        <w:pStyle w:val="QsyesnoCharChar"/>
        <w:keepNext/>
        <w:numPr>
          <w:ilvl w:val="0"/>
          <w:numId w:val="32"/>
        </w:numPr>
        <w:tabs>
          <w:tab w:val="clear" w:pos="851"/>
          <w:tab w:val="left" w:pos="709"/>
        </w:tabs>
        <w:rPr>
          <w:rFonts w:ascii="Verdana" w:hAnsi="Verdana"/>
          <w:szCs w:val="18"/>
        </w:rPr>
      </w:pPr>
      <w:r w:rsidRPr="00D678F7">
        <w:rPr>
          <w:rFonts w:ascii="Verdana" w:hAnsi="Verdana"/>
          <w:szCs w:val="18"/>
        </w:rPr>
        <w:t>An explanation for any significant deviations in the number of exceptions observed</w:t>
      </w:r>
    </w:p>
    <w:p w14:paraId="1E757B19" w14:textId="6CFBDAC8" w:rsidR="00021508" w:rsidRPr="00D678F7" w:rsidRDefault="00021508" w:rsidP="00D678F7">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p w14:paraId="56719DEA" w14:textId="77777777" w:rsidR="00D678F7" w:rsidRDefault="00D678F7" w:rsidP="00D678F7">
      <w:pPr>
        <w:pStyle w:val="QsyesnoCharChar"/>
        <w:keepNext/>
        <w:tabs>
          <w:tab w:val="clear" w:pos="851"/>
          <w:tab w:val="left" w:pos="709"/>
        </w:tabs>
        <w:ind w:left="720"/>
        <w:rPr>
          <w:rFonts w:ascii="Verdana" w:hAnsi="Verdana"/>
          <w:szCs w:val="18"/>
        </w:rPr>
      </w:pPr>
    </w:p>
    <w:p w14:paraId="168BE97B" w14:textId="3D3FDF98" w:rsidR="00630C0F" w:rsidRPr="00D678F7" w:rsidRDefault="00630C0F" w:rsidP="00055824">
      <w:pPr>
        <w:pStyle w:val="QsyesnoCharChar"/>
        <w:keepNext/>
        <w:numPr>
          <w:ilvl w:val="0"/>
          <w:numId w:val="28"/>
        </w:numPr>
        <w:tabs>
          <w:tab w:val="clear" w:pos="851"/>
          <w:tab w:val="left" w:pos="709"/>
        </w:tabs>
        <w:ind w:left="284"/>
        <w:rPr>
          <w:rFonts w:ascii="Verdana" w:hAnsi="Verdana"/>
          <w:szCs w:val="18"/>
        </w:rPr>
      </w:pPr>
      <w:r w:rsidRPr="00D678F7">
        <w:rPr>
          <w:rFonts w:ascii="Verdana" w:hAnsi="Verdana"/>
          <w:szCs w:val="18"/>
        </w:rPr>
        <w:t>All management reporting by Compliance functions for the past 6 months that:</w:t>
      </w:r>
    </w:p>
    <w:p w14:paraId="1088D7B9" w14:textId="77777777" w:rsidR="00630C0F" w:rsidRPr="00D678F7" w:rsidRDefault="00630C0F" w:rsidP="00D678F7">
      <w:pPr>
        <w:pStyle w:val="QsyesnoCharChar"/>
        <w:keepNext/>
        <w:numPr>
          <w:ilvl w:val="0"/>
          <w:numId w:val="33"/>
        </w:numPr>
        <w:tabs>
          <w:tab w:val="clear" w:pos="851"/>
          <w:tab w:val="left" w:pos="709"/>
        </w:tabs>
        <w:rPr>
          <w:rFonts w:ascii="Verdana" w:hAnsi="Verdana"/>
          <w:szCs w:val="18"/>
        </w:rPr>
      </w:pPr>
      <w:r w:rsidRPr="00D678F7">
        <w:rPr>
          <w:rFonts w:ascii="Verdana" w:hAnsi="Verdana"/>
          <w:szCs w:val="18"/>
        </w:rPr>
        <w:t>Attests to the adherence to policies and procedures by trading staff</w:t>
      </w:r>
    </w:p>
    <w:p w14:paraId="6CC884FC" w14:textId="4D47CEC8" w:rsidR="00630C0F" w:rsidRPr="00D678F7" w:rsidRDefault="00630C0F" w:rsidP="00D678F7">
      <w:pPr>
        <w:pStyle w:val="QsyesnoCharChar"/>
        <w:keepNext/>
        <w:numPr>
          <w:ilvl w:val="0"/>
          <w:numId w:val="33"/>
        </w:numPr>
        <w:tabs>
          <w:tab w:val="clear" w:pos="851"/>
          <w:tab w:val="left" w:pos="709"/>
        </w:tabs>
        <w:rPr>
          <w:rFonts w:ascii="Verdana" w:hAnsi="Verdana"/>
          <w:szCs w:val="18"/>
        </w:rPr>
      </w:pPr>
      <w:r w:rsidRPr="00D678F7">
        <w:rPr>
          <w:rFonts w:ascii="Verdana" w:hAnsi="Verdana"/>
          <w:szCs w:val="18"/>
        </w:rPr>
        <w:t>Reports any violation of policies and procedures by trading staff</w:t>
      </w:r>
    </w:p>
    <w:p w14:paraId="56D4BB73" w14:textId="4E858FD1" w:rsidR="00021508" w:rsidRPr="00D678F7" w:rsidRDefault="00021508" w:rsidP="00D678F7">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p w14:paraId="3CE51FFF" w14:textId="77777777" w:rsidR="00D678F7" w:rsidRDefault="00D678F7" w:rsidP="00D678F7">
      <w:pPr>
        <w:pStyle w:val="QsyesnoCharChar"/>
        <w:keepNext/>
        <w:tabs>
          <w:tab w:val="clear" w:pos="851"/>
          <w:tab w:val="left" w:pos="709"/>
        </w:tabs>
        <w:ind w:left="720"/>
        <w:rPr>
          <w:rFonts w:ascii="Verdana" w:hAnsi="Verdana"/>
          <w:szCs w:val="18"/>
        </w:rPr>
      </w:pPr>
    </w:p>
    <w:p w14:paraId="63A29AE6" w14:textId="4E94C8B8" w:rsidR="00630C0F" w:rsidRPr="00D678F7" w:rsidRDefault="00630C0F" w:rsidP="00D678F7">
      <w:pPr>
        <w:pStyle w:val="QsyesnoCharChar"/>
        <w:keepNext/>
        <w:numPr>
          <w:ilvl w:val="0"/>
          <w:numId w:val="28"/>
        </w:numPr>
        <w:tabs>
          <w:tab w:val="clear" w:pos="851"/>
          <w:tab w:val="left" w:pos="709"/>
        </w:tabs>
        <w:rPr>
          <w:rFonts w:ascii="Verdana" w:hAnsi="Verdana"/>
          <w:szCs w:val="18"/>
        </w:rPr>
      </w:pPr>
      <w:r w:rsidRPr="00D678F7">
        <w:rPr>
          <w:rFonts w:ascii="Verdana" w:hAnsi="Verdana"/>
          <w:szCs w:val="18"/>
        </w:rPr>
        <w:t>The following documentation from internal audit:</w:t>
      </w:r>
    </w:p>
    <w:p w14:paraId="701D645C" w14:textId="77777777" w:rsidR="00630C0F" w:rsidRPr="00D678F7" w:rsidRDefault="00630C0F" w:rsidP="00D678F7">
      <w:pPr>
        <w:pStyle w:val="QsyesnoCharChar"/>
        <w:keepNext/>
        <w:numPr>
          <w:ilvl w:val="0"/>
          <w:numId w:val="34"/>
        </w:numPr>
        <w:tabs>
          <w:tab w:val="clear" w:pos="851"/>
          <w:tab w:val="left" w:pos="709"/>
        </w:tabs>
        <w:rPr>
          <w:rFonts w:ascii="Verdana" w:hAnsi="Verdana"/>
          <w:szCs w:val="18"/>
        </w:rPr>
      </w:pPr>
      <w:r w:rsidRPr="00D678F7">
        <w:rPr>
          <w:rFonts w:ascii="Verdana" w:hAnsi="Verdana"/>
          <w:szCs w:val="18"/>
        </w:rPr>
        <w:t>A list of all audit activities for the current year</w:t>
      </w:r>
    </w:p>
    <w:p w14:paraId="32A01276" w14:textId="308A41ED" w:rsidR="00630C0F" w:rsidRPr="00D678F7" w:rsidRDefault="00630C0F" w:rsidP="00D678F7">
      <w:pPr>
        <w:pStyle w:val="QsyesnoCharChar"/>
        <w:keepNext/>
        <w:numPr>
          <w:ilvl w:val="0"/>
          <w:numId w:val="34"/>
        </w:numPr>
        <w:tabs>
          <w:tab w:val="clear" w:pos="851"/>
          <w:tab w:val="left" w:pos="709"/>
        </w:tabs>
        <w:rPr>
          <w:rFonts w:ascii="Verdana" w:hAnsi="Verdana"/>
          <w:szCs w:val="18"/>
        </w:rPr>
      </w:pPr>
      <w:r w:rsidRPr="00D678F7">
        <w:rPr>
          <w:rFonts w:ascii="Verdana" w:hAnsi="Verdana"/>
          <w:szCs w:val="18"/>
        </w:rPr>
        <w:t>All audit reports from the previous year</w:t>
      </w:r>
    </w:p>
    <w:p w14:paraId="43100161" w14:textId="1D138C7F" w:rsidR="00021508" w:rsidRPr="00D678F7" w:rsidRDefault="00021508" w:rsidP="00D678F7">
      <w:pPr>
        <w:pStyle w:val="QsyesnoCharChar"/>
        <w:keepNext/>
        <w:tabs>
          <w:tab w:val="clear" w:pos="851"/>
          <w:tab w:val="left" w:pos="709"/>
        </w:tabs>
        <w:rPr>
          <w:rFonts w:ascii="Verdana" w:hAnsi="Verdana"/>
          <w:szCs w:val="18"/>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p w14:paraId="496C638B" w14:textId="77777777" w:rsidR="00D678F7" w:rsidRDefault="00D678F7" w:rsidP="00D678F7">
      <w:pPr>
        <w:pStyle w:val="QsyesnoCharChar"/>
        <w:keepNext/>
        <w:tabs>
          <w:tab w:val="clear" w:pos="851"/>
          <w:tab w:val="left" w:pos="709"/>
        </w:tabs>
        <w:ind w:left="720"/>
        <w:rPr>
          <w:rFonts w:ascii="Verdana" w:hAnsi="Verdana"/>
          <w:szCs w:val="18"/>
        </w:rPr>
      </w:pPr>
    </w:p>
    <w:p w14:paraId="41F10837" w14:textId="72ABF1E9" w:rsidR="00630C0F" w:rsidRPr="00D678F7" w:rsidRDefault="00630C0F" w:rsidP="00055824">
      <w:pPr>
        <w:pStyle w:val="QsyesnoCharChar"/>
        <w:keepNext/>
        <w:numPr>
          <w:ilvl w:val="0"/>
          <w:numId w:val="28"/>
        </w:numPr>
        <w:tabs>
          <w:tab w:val="clear" w:pos="851"/>
          <w:tab w:val="left" w:pos="709"/>
        </w:tabs>
        <w:ind w:left="284"/>
        <w:rPr>
          <w:rFonts w:ascii="Verdana" w:hAnsi="Verdana"/>
          <w:szCs w:val="18"/>
        </w:rPr>
      </w:pPr>
      <w:r w:rsidRPr="00D678F7">
        <w:rPr>
          <w:rFonts w:ascii="Verdana" w:hAnsi="Verdana"/>
          <w:szCs w:val="18"/>
        </w:rPr>
        <w:t>A status report on all outstanding actions identified by internal audit in trading and control functions.</w:t>
      </w:r>
    </w:p>
    <w:p w14:paraId="5FEAA878" w14:textId="0FAE0FE3" w:rsidR="00630C0F" w:rsidRDefault="00021508" w:rsidP="00F733ED">
      <w:pPr>
        <w:pStyle w:val="QsyesnoCharChar"/>
        <w:keepNext/>
        <w:tabs>
          <w:tab w:val="clear" w:pos="851"/>
          <w:tab w:val="left" w:pos="709"/>
        </w:tabs>
        <w:rPr>
          <w:rFonts w:ascii="Verdana" w:hAnsi="Verdana"/>
          <w:b/>
        </w:rPr>
      </w:pPr>
      <w:r>
        <w:rPr>
          <w:rFonts w:ascii="Verdana" w:hAnsi="Verdana"/>
          <w:szCs w:val="18"/>
        </w:rPr>
        <w:tab/>
      </w: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A2451">
        <w:rPr>
          <w:rFonts w:ascii="Verdana" w:hAnsi="Verdana"/>
          <w:szCs w:val="18"/>
        </w:rPr>
      </w:r>
      <w:r w:rsidR="00EA245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55824">
        <w:rPr>
          <w:rFonts w:ascii="Verdana" w:hAnsi="Verdana"/>
          <w:szCs w:val="18"/>
        </w:rPr>
        <w:t>Attached</w:t>
      </w:r>
    </w:p>
    <w:sectPr w:rsidR="00630C0F" w:rsidSect="00A865D4">
      <w:headerReference w:type="default" r:id="rId19"/>
      <w:headerReference w:type="first" r:id="rId20"/>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C018" w14:textId="77777777" w:rsidR="00EE6A0E" w:rsidRDefault="00EE6A0E">
      <w:r>
        <w:separator/>
      </w:r>
    </w:p>
  </w:endnote>
  <w:endnote w:type="continuationSeparator" w:id="0">
    <w:p w14:paraId="45D44231" w14:textId="77777777" w:rsidR="00EE6A0E" w:rsidRDefault="00EE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5C05BC57" w:rsidR="0058743B" w:rsidRDefault="00EA2451"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E323AF">
      <w:rPr>
        <w:sz w:val="16"/>
      </w:rPr>
      <w:t>4</w:t>
    </w:r>
    <w:r w:rsidR="00265DEF">
      <w:rPr>
        <w:sz w:val="16"/>
      </w:rPr>
      <w:t>.</w:t>
    </w:r>
    <w:r w:rsidR="00E323AF">
      <w:rPr>
        <w:sz w:val="16"/>
      </w:rPr>
      <w:t>1</w:t>
    </w:r>
    <w:r w:rsidR="00DF7DD4">
      <w:rPr>
        <w:sz w:val="16"/>
      </w:rPr>
      <w:t>2.4R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EA2451">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CAE71" w14:textId="77777777" w:rsidR="00EE6A0E" w:rsidRDefault="00EE6A0E">
      <w:r>
        <w:separator/>
      </w:r>
    </w:p>
  </w:footnote>
  <w:footnote w:type="continuationSeparator" w:id="0">
    <w:p w14:paraId="48E3F0D7" w14:textId="77777777" w:rsidR="00EE6A0E" w:rsidRDefault="00EE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1B7593C9"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705D59">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2F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B8753AB"/>
    <w:multiLevelType w:val="hybridMultilevel"/>
    <w:tmpl w:val="FBAE04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C3DF7"/>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EE6B41"/>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10F40E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1" w15:restartNumberingAfterBreak="0">
    <w:nsid w:val="3B84682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B07DB1"/>
    <w:multiLevelType w:val="hybridMultilevel"/>
    <w:tmpl w:val="6F4C28BC"/>
    <w:lvl w:ilvl="0" w:tplc="8A985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B4F11"/>
    <w:multiLevelType w:val="hybridMultilevel"/>
    <w:tmpl w:val="E620FFD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7"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8"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A53326"/>
    <w:multiLevelType w:val="hybridMultilevel"/>
    <w:tmpl w:val="ED4E585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6828C9"/>
    <w:multiLevelType w:val="hybridMultilevel"/>
    <w:tmpl w:val="2AFC5E1E"/>
    <w:lvl w:ilvl="0" w:tplc="5D144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27"/>
  </w:num>
  <w:num w:numId="4">
    <w:abstractNumId w:val="25"/>
  </w:num>
  <w:num w:numId="5">
    <w:abstractNumId w:val="4"/>
  </w:num>
  <w:num w:numId="6">
    <w:abstractNumId w:val="8"/>
  </w:num>
  <w:num w:numId="7">
    <w:abstractNumId w:val="20"/>
  </w:num>
  <w:num w:numId="8">
    <w:abstractNumId w:val="3"/>
  </w:num>
  <w:num w:numId="9">
    <w:abstractNumId w:val="6"/>
  </w:num>
  <w:num w:numId="10">
    <w:abstractNumId w:val="7"/>
  </w:num>
  <w:num w:numId="11">
    <w:abstractNumId w:val="10"/>
  </w:num>
  <w:num w:numId="12">
    <w:abstractNumId w:val="14"/>
  </w:num>
  <w:num w:numId="13">
    <w:abstractNumId w:val="19"/>
  </w:num>
  <w:num w:numId="14">
    <w:abstractNumId w:val="31"/>
  </w:num>
  <w:num w:numId="15">
    <w:abstractNumId w:val="28"/>
    <w:lvlOverride w:ilvl="0">
      <w:startOverride w:val="1"/>
    </w:lvlOverride>
  </w:num>
  <w:num w:numId="16">
    <w:abstractNumId w:val="28"/>
  </w:num>
  <w:num w:numId="17">
    <w:abstractNumId w:val="16"/>
  </w:num>
  <w:num w:numId="18">
    <w:abstractNumId w:val="2"/>
  </w:num>
  <w:num w:numId="19">
    <w:abstractNumId w:val="12"/>
  </w:num>
  <w:num w:numId="20">
    <w:abstractNumId w:val="13"/>
  </w:num>
  <w:num w:numId="21">
    <w:abstractNumId w:val="29"/>
  </w:num>
  <w:num w:numId="22">
    <w:abstractNumId w:val="1"/>
  </w:num>
  <w:num w:numId="23">
    <w:abstractNumId w:val="11"/>
  </w:num>
  <w:num w:numId="24">
    <w:abstractNumId w:val="22"/>
  </w:num>
  <w:num w:numId="25">
    <w:abstractNumId w:val="9"/>
  </w:num>
  <w:num w:numId="26">
    <w:abstractNumId w:val="23"/>
  </w:num>
  <w:num w:numId="27">
    <w:abstractNumId w:val="32"/>
  </w:num>
  <w:num w:numId="28">
    <w:abstractNumId w:val="30"/>
  </w:num>
  <w:num w:numId="29">
    <w:abstractNumId w:val="24"/>
  </w:num>
  <w:num w:numId="30">
    <w:abstractNumId w:val="21"/>
  </w:num>
  <w:num w:numId="31">
    <w:abstractNumId w:val="17"/>
  </w:num>
  <w:num w:numId="32">
    <w:abstractNumId w:val="0"/>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oGo9S88vFtZrr3tuaOwbCli+4pyXibwJYl6Xyud95KPh7QpD8+fTlQqNeHVn+/MKS2ueliTOZa1LTnVXftNGA==" w:salt="9j/5C0aJGg8Avfb7AbhsS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5698"/>
    <w:rsid w:val="000061CC"/>
    <w:rsid w:val="00011558"/>
    <w:rsid w:val="000149D2"/>
    <w:rsid w:val="0001530F"/>
    <w:rsid w:val="0001741A"/>
    <w:rsid w:val="00021508"/>
    <w:rsid w:val="000226BC"/>
    <w:rsid w:val="00026C84"/>
    <w:rsid w:val="00035593"/>
    <w:rsid w:val="00036111"/>
    <w:rsid w:val="00041C77"/>
    <w:rsid w:val="00042B06"/>
    <w:rsid w:val="000442C8"/>
    <w:rsid w:val="0004448F"/>
    <w:rsid w:val="00045153"/>
    <w:rsid w:val="00047382"/>
    <w:rsid w:val="00050B95"/>
    <w:rsid w:val="00050E4B"/>
    <w:rsid w:val="00054015"/>
    <w:rsid w:val="00055824"/>
    <w:rsid w:val="00056A2A"/>
    <w:rsid w:val="00057FA9"/>
    <w:rsid w:val="00060B55"/>
    <w:rsid w:val="00061EDA"/>
    <w:rsid w:val="0006295B"/>
    <w:rsid w:val="000719A1"/>
    <w:rsid w:val="000736EF"/>
    <w:rsid w:val="0007760A"/>
    <w:rsid w:val="000869FB"/>
    <w:rsid w:val="00090BBE"/>
    <w:rsid w:val="00092E76"/>
    <w:rsid w:val="00093870"/>
    <w:rsid w:val="00097B96"/>
    <w:rsid w:val="000A08F5"/>
    <w:rsid w:val="000A0A18"/>
    <w:rsid w:val="000A563F"/>
    <w:rsid w:val="000B1E42"/>
    <w:rsid w:val="000B2700"/>
    <w:rsid w:val="000B2E3C"/>
    <w:rsid w:val="000B4BFE"/>
    <w:rsid w:val="000B4CA4"/>
    <w:rsid w:val="000C0231"/>
    <w:rsid w:val="000C221B"/>
    <w:rsid w:val="000C3A5F"/>
    <w:rsid w:val="000D1378"/>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538B"/>
    <w:rsid w:val="00116641"/>
    <w:rsid w:val="00122606"/>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7035D"/>
    <w:rsid w:val="001728D2"/>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47CD"/>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43FF"/>
    <w:rsid w:val="00205034"/>
    <w:rsid w:val="002054C3"/>
    <w:rsid w:val="00213562"/>
    <w:rsid w:val="00213BCD"/>
    <w:rsid w:val="002141D5"/>
    <w:rsid w:val="00216410"/>
    <w:rsid w:val="00223BA3"/>
    <w:rsid w:val="00223FA3"/>
    <w:rsid w:val="0022687E"/>
    <w:rsid w:val="00227575"/>
    <w:rsid w:val="0023071E"/>
    <w:rsid w:val="00234D44"/>
    <w:rsid w:val="00235379"/>
    <w:rsid w:val="00235A25"/>
    <w:rsid w:val="00236D91"/>
    <w:rsid w:val="00241757"/>
    <w:rsid w:val="0024202A"/>
    <w:rsid w:val="00245214"/>
    <w:rsid w:val="0024596F"/>
    <w:rsid w:val="00256767"/>
    <w:rsid w:val="0025786E"/>
    <w:rsid w:val="00257929"/>
    <w:rsid w:val="00262059"/>
    <w:rsid w:val="00262A0B"/>
    <w:rsid w:val="00262E7B"/>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19F5"/>
    <w:rsid w:val="002D3EB9"/>
    <w:rsid w:val="002D66E7"/>
    <w:rsid w:val="002E0AEB"/>
    <w:rsid w:val="002E43EA"/>
    <w:rsid w:val="002E4DCC"/>
    <w:rsid w:val="002E5145"/>
    <w:rsid w:val="002F3DE4"/>
    <w:rsid w:val="002F5BC7"/>
    <w:rsid w:val="002F6BB1"/>
    <w:rsid w:val="003000A0"/>
    <w:rsid w:val="00300B14"/>
    <w:rsid w:val="00300CAF"/>
    <w:rsid w:val="00301382"/>
    <w:rsid w:val="00301A96"/>
    <w:rsid w:val="003027D5"/>
    <w:rsid w:val="00304041"/>
    <w:rsid w:val="0030564E"/>
    <w:rsid w:val="0031036D"/>
    <w:rsid w:val="0031176E"/>
    <w:rsid w:val="003123EA"/>
    <w:rsid w:val="00313C5B"/>
    <w:rsid w:val="00314383"/>
    <w:rsid w:val="0031575D"/>
    <w:rsid w:val="00315DD4"/>
    <w:rsid w:val="00316E41"/>
    <w:rsid w:val="00323E58"/>
    <w:rsid w:val="00326AA1"/>
    <w:rsid w:val="0033782F"/>
    <w:rsid w:val="00341D06"/>
    <w:rsid w:val="00345366"/>
    <w:rsid w:val="0034600F"/>
    <w:rsid w:val="00350DE5"/>
    <w:rsid w:val="003548EB"/>
    <w:rsid w:val="00354FFB"/>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589"/>
    <w:rsid w:val="003A4688"/>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46DC"/>
    <w:rsid w:val="004356FD"/>
    <w:rsid w:val="0043594B"/>
    <w:rsid w:val="00436455"/>
    <w:rsid w:val="00437CDB"/>
    <w:rsid w:val="0044283A"/>
    <w:rsid w:val="0044302A"/>
    <w:rsid w:val="00443DF6"/>
    <w:rsid w:val="00443FC5"/>
    <w:rsid w:val="00444798"/>
    <w:rsid w:val="0044765A"/>
    <w:rsid w:val="00447D33"/>
    <w:rsid w:val="0045084A"/>
    <w:rsid w:val="00455BB8"/>
    <w:rsid w:val="00456EB2"/>
    <w:rsid w:val="00462DF6"/>
    <w:rsid w:val="0046533D"/>
    <w:rsid w:val="00467128"/>
    <w:rsid w:val="004734F1"/>
    <w:rsid w:val="004764F1"/>
    <w:rsid w:val="004772B9"/>
    <w:rsid w:val="00477351"/>
    <w:rsid w:val="004819FF"/>
    <w:rsid w:val="00482486"/>
    <w:rsid w:val="00483F4F"/>
    <w:rsid w:val="00486542"/>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6F56"/>
    <w:rsid w:val="004B7926"/>
    <w:rsid w:val="004C0C2C"/>
    <w:rsid w:val="004C46CE"/>
    <w:rsid w:val="004C6728"/>
    <w:rsid w:val="004C69D5"/>
    <w:rsid w:val="004D2E88"/>
    <w:rsid w:val="004D3853"/>
    <w:rsid w:val="004D7621"/>
    <w:rsid w:val="004E12C4"/>
    <w:rsid w:val="004E226D"/>
    <w:rsid w:val="004E2E84"/>
    <w:rsid w:val="004E3E56"/>
    <w:rsid w:val="004E426C"/>
    <w:rsid w:val="004E4EDA"/>
    <w:rsid w:val="004E611C"/>
    <w:rsid w:val="004E68F7"/>
    <w:rsid w:val="004E6EB8"/>
    <w:rsid w:val="004F4D68"/>
    <w:rsid w:val="004F6093"/>
    <w:rsid w:val="005024BE"/>
    <w:rsid w:val="0050322B"/>
    <w:rsid w:val="00504F64"/>
    <w:rsid w:val="0050718E"/>
    <w:rsid w:val="00510C2A"/>
    <w:rsid w:val="00512241"/>
    <w:rsid w:val="00514379"/>
    <w:rsid w:val="00516BE9"/>
    <w:rsid w:val="00517643"/>
    <w:rsid w:val="00521506"/>
    <w:rsid w:val="00521BA1"/>
    <w:rsid w:val="00523024"/>
    <w:rsid w:val="005256BB"/>
    <w:rsid w:val="005263B3"/>
    <w:rsid w:val="005301C9"/>
    <w:rsid w:val="005309FA"/>
    <w:rsid w:val="00536792"/>
    <w:rsid w:val="0054386C"/>
    <w:rsid w:val="00544FD9"/>
    <w:rsid w:val="00546132"/>
    <w:rsid w:val="005472E7"/>
    <w:rsid w:val="005503A7"/>
    <w:rsid w:val="00551516"/>
    <w:rsid w:val="005527F4"/>
    <w:rsid w:val="005603BD"/>
    <w:rsid w:val="00561210"/>
    <w:rsid w:val="00561863"/>
    <w:rsid w:val="0056225D"/>
    <w:rsid w:val="00565438"/>
    <w:rsid w:val="00566B3E"/>
    <w:rsid w:val="00570BE4"/>
    <w:rsid w:val="00572F14"/>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C93"/>
    <w:rsid w:val="005C6D5D"/>
    <w:rsid w:val="005C761B"/>
    <w:rsid w:val="005D085D"/>
    <w:rsid w:val="005D2BA8"/>
    <w:rsid w:val="005D319E"/>
    <w:rsid w:val="005E03C9"/>
    <w:rsid w:val="005E3A9C"/>
    <w:rsid w:val="005E5DE1"/>
    <w:rsid w:val="006021E6"/>
    <w:rsid w:val="00602BA9"/>
    <w:rsid w:val="006031A9"/>
    <w:rsid w:val="00605A4E"/>
    <w:rsid w:val="00611824"/>
    <w:rsid w:val="00612660"/>
    <w:rsid w:val="00621B81"/>
    <w:rsid w:val="00623FA4"/>
    <w:rsid w:val="00623FA7"/>
    <w:rsid w:val="006267EA"/>
    <w:rsid w:val="00630010"/>
    <w:rsid w:val="006308C7"/>
    <w:rsid w:val="00630C0F"/>
    <w:rsid w:val="00632758"/>
    <w:rsid w:val="00632F1E"/>
    <w:rsid w:val="00633AD1"/>
    <w:rsid w:val="00640CAB"/>
    <w:rsid w:val="006415E3"/>
    <w:rsid w:val="00641894"/>
    <w:rsid w:val="00642021"/>
    <w:rsid w:val="006420CD"/>
    <w:rsid w:val="00645C1B"/>
    <w:rsid w:val="00647A2D"/>
    <w:rsid w:val="00650C0D"/>
    <w:rsid w:val="0065198C"/>
    <w:rsid w:val="006521AE"/>
    <w:rsid w:val="006553E0"/>
    <w:rsid w:val="00656EEC"/>
    <w:rsid w:val="0066524B"/>
    <w:rsid w:val="00665EDF"/>
    <w:rsid w:val="006668E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9728D"/>
    <w:rsid w:val="006A42D2"/>
    <w:rsid w:val="006B15E4"/>
    <w:rsid w:val="006B4EED"/>
    <w:rsid w:val="006B68A2"/>
    <w:rsid w:val="006C0BC9"/>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2FFE"/>
    <w:rsid w:val="0070404C"/>
    <w:rsid w:val="00705D59"/>
    <w:rsid w:val="007077DD"/>
    <w:rsid w:val="007077E1"/>
    <w:rsid w:val="007157D6"/>
    <w:rsid w:val="007168B9"/>
    <w:rsid w:val="00716F97"/>
    <w:rsid w:val="00720608"/>
    <w:rsid w:val="00724145"/>
    <w:rsid w:val="00724D26"/>
    <w:rsid w:val="0072662F"/>
    <w:rsid w:val="00730A3C"/>
    <w:rsid w:val="00732D1A"/>
    <w:rsid w:val="00732F4B"/>
    <w:rsid w:val="00740366"/>
    <w:rsid w:val="00740C54"/>
    <w:rsid w:val="00745D7A"/>
    <w:rsid w:val="0075007E"/>
    <w:rsid w:val="007522DE"/>
    <w:rsid w:val="00754C74"/>
    <w:rsid w:val="00754CB9"/>
    <w:rsid w:val="007617BB"/>
    <w:rsid w:val="00767C20"/>
    <w:rsid w:val="007701DA"/>
    <w:rsid w:val="007756D2"/>
    <w:rsid w:val="007758C9"/>
    <w:rsid w:val="007761A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3D5E"/>
    <w:rsid w:val="007B461D"/>
    <w:rsid w:val="007B5B3B"/>
    <w:rsid w:val="007C07F2"/>
    <w:rsid w:val="007C2E55"/>
    <w:rsid w:val="007C3F78"/>
    <w:rsid w:val="007C5101"/>
    <w:rsid w:val="007C5BBC"/>
    <w:rsid w:val="007C6B65"/>
    <w:rsid w:val="007D2B76"/>
    <w:rsid w:val="007D31E2"/>
    <w:rsid w:val="007D412C"/>
    <w:rsid w:val="007D4699"/>
    <w:rsid w:val="007D5A0A"/>
    <w:rsid w:val="007D71DD"/>
    <w:rsid w:val="007D76B0"/>
    <w:rsid w:val="007E5CED"/>
    <w:rsid w:val="007F0047"/>
    <w:rsid w:val="007F01BE"/>
    <w:rsid w:val="007F0F98"/>
    <w:rsid w:val="007F33F2"/>
    <w:rsid w:val="007F3F57"/>
    <w:rsid w:val="007F7CF5"/>
    <w:rsid w:val="008014D5"/>
    <w:rsid w:val="0080169E"/>
    <w:rsid w:val="0080243C"/>
    <w:rsid w:val="008039E4"/>
    <w:rsid w:val="008047DB"/>
    <w:rsid w:val="00804DAD"/>
    <w:rsid w:val="008055FF"/>
    <w:rsid w:val="00805D73"/>
    <w:rsid w:val="0080778D"/>
    <w:rsid w:val="0081114E"/>
    <w:rsid w:val="00811848"/>
    <w:rsid w:val="00813EBA"/>
    <w:rsid w:val="00815FB4"/>
    <w:rsid w:val="00816BCC"/>
    <w:rsid w:val="008229AF"/>
    <w:rsid w:val="00823981"/>
    <w:rsid w:val="008257F5"/>
    <w:rsid w:val="008266DA"/>
    <w:rsid w:val="0083024F"/>
    <w:rsid w:val="00830F37"/>
    <w:rsid w:val="00831BE2"/>
    <w:rsid w:val="00834454"/>
    <w:rsid w:val="0083535F"/>
    <w:rsid w:val="008402B3"/>
    <w:rsid w:val="00842101"/>
    <w:rsid w:val="00843136"/>
    <w:rsid w:val="00843777"/>
    <w:rsid w:val="00847B26"/>
    <w:rsid w:val="00850D11"/>
    <w:rsid w:val="008523E8"/>
    <w:rsid w:val="00852D92"/>
    <w:rsid w:val="008549F7"/>
    <w:rsid w:val="00855F92"/>
    <w:rsid w:val="00856461"/>
    <w:rsid w:val="0085685F"/>
    <w:rsid w:val="00857FAA"/>
    <w:rsid w:val="008601BA"/>
    <w:rsid w:val="00862647"/>
    <w:rsid w:val="00862EE7"/>
    <w:rsid w:val="008630E0"/>
    <w:rsid w:val="008634AE"/>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D44"/>
    <w:rsid w:val="008C216C"/>
    <w:rsid w:val="008C3500"/>
    <w:rsid w:val="008C3CDC"/>
    <w:rsid w:val="008C6733"/>
    <w:rsid w:val="008C6CFB"/>
    <w:rsid w:val="008C7171"/>
    <w:rsid w:val="008D3B46"/>
    <w:rsid w:val="008D3FDE"/>
    <w:rsid w:val="008D5E8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27A10"/>
    <w:rsid w:val="00934F4D"/>
    <w:rsid w:val="009356BB"/>
    <w:rsid w:val="00935B23"/>
    <w:rsid w:val="00937902"/>
    <w:rsid w:val="009409AA"/>
    <w:rsid w:val="00943128"/>
    <w:rsid w:val="00944C77"/>
    <w:rsid w:val="0094612E"/>
    <w:rsid w:val="009528D1"/>
    <w:rsid w:val="009537BD"/>
    <w:rsid w:val="0095522B"/>
    <w:rsid w:val="00960CDC"/>
    <w:rsid w:val="009630FD"/>
    <w:rsid w:val="009671AF"/>
    <w:rsid w:val="009705D9"/>
    <w:rsid w:val="00970F07"/>
    <w:rsid w:val="009710F1"/>
    <w:rsid w:val="00972045"/>
    <w:rsid w:val="0097276D"/>
    <w:rsid w:val="00972B8B"/>
    <w:rsid w:val="00973053"/>
    <w:rsid w:val="00973DCB"/>
    <w:rsid w:val="00976974"/>
    <w:rsid w:val="009773F8"/>
    <w:rsid w:val="00980F6E"/>
    <w:rsid w:val="00983825"/>
    <w:rsid w:val="009909D6"/>
    <w:rsid w:val="00990DBD"/>
    <w:rsid w:val="00991B9D"/>
    <w:rsid w:val="00993418"/>
    <w:rsid w:val="00993A66"/>
    <w:rsid w:val="00994891"/>
    <w:rsid w:val="00995ED4"/>
    <w:rsid w:val="0099685F"/>
    <w:rsid w:val="00996CBB"/>
    <w:rsid w:val="009974FA"/>
    <w:rsid w:val="009A1040"/>
    <w:rsid w:val="009A318B"/>
    <w:rsid w:val="009A3276"/>
    <w:rsid w:val="009A5E3B"/>
    <w:rsid w:val="009A60B7"/>
    <w:rsid w:val="009B1B2B"/>
    <w:rsid w:val="009B73CA"/>
    <w:rsid w:val="009C2D3D"/>
    <w:rsid w:val="009C5248"/>
    <w:rsid w:val="009D0739"/>
    <w:rsid w:val="009D3C4E"/>
    <w:rsid w:val="009D638D"/>
    <w:rsid w:val="009E3321"/>
    <w:rsid w:val="009E3F45"/>
    <w:rsid w:val="009E5A22"/>
    <w:rsid w:val="009E6902"/>
    <w:rsid w:val="009E7F90"/>
    <w:rsid w:val="009F40E4"/>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3369"/>
    <w:rsid w:val="00A36FF4"/>
    <w:rsid w:val="00A420EE"/>
    <w:rsid w:val="00A441D2"/>
    <w:rsid w:val="00A46A61"/>
    <w:rsid w:val="00A47C36"/>
    <w:rsid w:val="00A51F25"/>
    <w:rsid w:val="00A54450"/>
    <w:rsid w:val="00A55671"/>
    <w:rsid w:val="00A61418"/>
    <w:rsid w:val="00A64BC4"/>
    <w:rsid w:val="00A656BD"/>
    <w:rsid w:val="00A6626A"/>
    <w:rsid w:val="00A66447"/>
    <w:rsid w:val="00A678FF"/>
    <w:rsid w:val="00A710ED"/>
    <w:rsid w:val="00A717D1"/>
    <w:rsid w:val="00A80E6F"/>
    <w:rsid w:val="00A82C90"/>
    <w:rsid w:val="00A83DFB"/>
    <w:rsid w:val="00A852DA"/>
    <w:rsid w:val="00A865D4"/>
    <w:rsid w:val="00A92845"/>
    <w:rsid w:val="00A93AEA"/>
    <w:rsid w:val="00A975B7"/>
    <w:rsid w:val="00AA1B24"/>
    <w:rsid w:val="00AA398B"/>
    <w:rsid w:val="00AA6712"/>
    <w:rsid w:val="00AB05DE"/>
    <w:rsid w:val="00AB0AF3"/>
    <w:rsid w:val="00AB0E1E"/>
    <w:rsid w:val="00AB18B5"/>
    <w:rsid w:val="00AB22CB"/>
    <w:rsid w:val="00AB29E5"/>
    <w:rsid w:val="00AB467F"/>
    <w:rsid w:val="00AB76F8"/>
    <w:rsid w:val="00AC38BA"/>
    <w:rsid w:val="00AC79B4"/>
    <w:rsid w:val="00AD19C6"/>
    <w:rsid w:val="00AD1C4C"/>
    <w:rsid w:val="00AD25A9"/>
    <w:rsid w:val="00AD25D3"/>
    <w:rsid w:val="00AD4444"/>
    <w:rsid w:val="00AD6EBF"/>
    <w:rsid w:val="00AE0C28"/>
    <w:rsid w:val="00AE1E14"/>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4C8A"/>
    <w:rsid w:val="00B159C9"/>
    <w:rsid w:val="00B15FF5"/>
    <w:rsid w:val="00B21817"/>
    <w:rsid w:val="00B237EC"/>
    <w:rsid w:val="00B2633D"/>
    <w:rsid w:val="00B27DEC"/>
    <w:rsid w:val="00B41611"/>
    <w:rsid w:val="00B419D7"/>
    <w:rsid w:val="00B420FE"/>
    <w:rsid w:val="00B446DF"/>
    <w:rsid w:val="00B45884"/>
    <w:rsid w:val="00B45FFA"/>
    <w:rsid w:val="00B4667A"/>
    <w:rsid w:val="00B50190"/>
    <w:rsid w:val="00B51709"/>
    <w:rsid w:val="00B56A23"/>
    <w:rsid w:val="00B570E1"/>
    <w:rsid w:val="00B6428C"/>
    <w:rsid w:val="00B66653"/>
    <w:rsid w:val="00B671DD"/>
    <w:rsid w:val="00B7032A"/>
    <w:rsid w:val="00B75154"/>
    <w:rsid w:val="00B777B4"/>
    <w:rsid w:val="00B830D5"/>
    <w:rsid w:val="00B83534"/>
    <w:rsid w:val="00B84999"/>
    <w:rsid w:val="00B8642C"/>
    <w:rsid w:val="00B86AA3"/>
    <w:rsid w:val="00B9020E"/>
    <w:rsid w:val="00B91E5E"/>
    <w:rsid w:val="00B92441"/>
    <w:rsid w:val="00B92A82"/>
    <w:rsid w:val="00B93C69"/>
    <w:rsid w:val="00B962C0"/>
    <w:rsid w:val="00B9700E"/>
    <w:rsid w:val="00BA3D43"/>
    <w:rsid w:val="00BA3D73"/>
    <w:rsid w:val="00BA4278"/>
    <w:rsid w:val="00BA6E39"/>
    <w:rsid w:val="00BB1D40"/>
    <w:rsid w:val="00BB2E3F"/>
    <w:rsid w:val="00BB44BD"/>
    <w:rsid w:val="00BB50DF"/>
    <w:rsid w:val="00BB58E5"/>
    <w:rsid w:val="00BB6B3A"/>
    <w:rsid w:val="00BB6FBB"/>
    <w:rsid w:val="00BC6528"/>
    <w:rsid w:val="00BD1E6A"/>
    <w:rsid w:val="00BD6142"/>
    <w:rsid w:val="00BD6A32"/>
    <w:rsid w:val="00BD7609"/>
    <w:rsid w:val="00BE01EF"/>
    <w:rsid w:val="00BE45B6"/>
    <w:rsid w:val="00BF2C14"/>
    <w:rsid w:val="00BF5E88"/>
    <w:rsid w:val="00BF75CE"/>
    <w:rsid w:val="00C0206E"/>
    <w:rsid w:val="00C02D79"/>
    <w:rsid w:val="00C05821"/>
    <w:rsid w:val="00C065DC"/>
    <w:rsid w:val="00C06BE3"/>
    <w:rsid w:val="00C10D9A"/>
    <w:rsid w:val="00C13A40"/>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137F"/>
    <w:rsid w:val="00C57021"/>
    <w:rsid w:val="00C57098"/>
    <w:rsid w:val="00C579BC"/>
    <w:rsid w:val="00C61486"/>
    <w:rsid w:val="00C632D8"/>
    <w:rsid w:val="00C63CFD"/>
    <w:rsid w:val="00C650E5"/>
    <w:rsid w:val="00C7604D"/>
    <w:rsid w:val="00C76EA6"/>
    <w:rsid w:val="00C7733E"/>
    <w:rsid w:val="00C77EDB"/>
    <w:rsid w:val="00C81FA1"/>
    <w:rsid w:val="00C82EB0"/>
    <w:rsid w:val="00C830A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103"/>
    <w:rsid w:val="00D14467"/>
    <w:rsid w:val="00D21538"/>
    <w:rsid w:val="00D23ECD"/>
    <w:rsid w:val="00D25BEB"/>
    <w:rsid w:val="00D26DF2"/>
    <w:rsid w:val="00D27604"/>
    <w:rsid w:val="00D32F02"/>
    <w:rsid w:val="00D350DE"/>
    <w:rsid w:val="00D36DED"/>
    <w:rsid w:val="00D41436"/>
    <w:rsid w:val="00D421DB"/>
    <w:rsid w:val="00D42879"/>
    <w:rsid w:val="00D42987"/>
    <w:rsid w:val="00D4379B"/>
    <w:rsid w:val="00D4475A"/>
    <w:rsid w:val="00D44E57"/>
    <w:rsid w:val="00D4588F"/>
    <w:rsid w:val="00D45A41"/>
    <w:rsid w:val="00D45CF4"/>
    <w:rsid w:val="00D45EE3"/>
    <w:rsid w:val="00D47CD9"/>
    <w:rsid w:val="00D50CE3"/>
    <w:rsid w:val="00D51047"/>
    <w:rsid w:val="00D51B34"/>
    <w:rsid w:val="00D53F79"/>
    <w:rsid w:val="00D55CDB"/>
    <w:rsid w:val="00D55EA3"/>
    <w:rsid w:val="00D60951"/>
    <w:rsid w:val="00D62A93"/>
    <w:rsid w:val="00D65FE7"/>
    <w:rsid w:val="00D673CC"/>
    <w:rsid w:val="00D678F7"/>
    <w:rsid w:val="00D70446"/>
    <w:rsid w:val="00D70ECF"/>
    <w:rsid w:val="00D7304E"/>
    <w:rsid w:val="00D73992"/>
    <w:rsid w:val="00D752CF"/>
    <w:rsid w:val="00D75C08"/>
    <w:rsid w:val="00D75D36"/>
    <w:rsid w:val="00D77937"/>
    <w:rsid w:val="00D82A48"/>
    <w:rsid w:val="00D85968"/>
    <w:rsid w:val="00D92394"/>
    <w:rsid w:val="00D93C91"/>
    <w:rsid w:val="00D95B9C"/>
    <w:rsid w:val="00DA1792"/>
    <w:rsid w:val="00DA1DAF"/>
    <w:rsid w:val="00DA396A"/>
    <w:rsid w:val="00DB137C"/>
    <w:rsid w:val="00DB26B1"/>
    <w:rsid w:val="00DB3D0F"/>
    <w:rsid w:val="00DB4E96"/>
    <w:rsid w:val="00DC0E17"/>
    <w:rsid w:val="00DC316E"/>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DF7DD4"/>
    <w:rsid w:val="00E01F31"/>
    <w:rsid w:val="00E104C6"/>
    <w:rsid w:val="00E14F60"/>
    <w:rsid w:val="00E15F60"/>
    <w:rsid w:val="00E16AAC"/>
    <w:rsid w:val="00E207AC"/>
    <w:rsid w:val="00E22F97"/>
    <w:rsid w:val="00E259E9"/>
    <w:rsid w:val="00E25FAD"/>
    <w:rsid w:val="00E323AF"/>
    <w:rsid w:val="00E32678"/>
    <w:rsid w:val="00E329A1"/>
    <w:rsid w:val="00E33436"/>
    <w:rsid w:val="00E33BA5"/>
    <w:rsid w:val="00E34536"/>
    <w:rsid w:val="00E3652A"/>
    <w:rsid w:val="00E36CE2"/>
    <w:rsid w:val="00E37016"/>
    <w:rsid w:val="00E3707A"/>
    <w:rsid w:val="00E40B8F"/>
    <w:rsid w:val="00E410DF"/>
    <w:rsid w:val="00E414CF"/>
    <w:rsid w:val="00E42B52"/>
    <w:rsid w:val="00E42EDA"/>
    <w:rsid w:val="00E463F5"/>
    <w:rsid w:val="00E50821"/>
    <w:rsid w:val="00E519F9"/>
    <w:rsid w:val="00E51F86"/>
    <w:rsid w:val="00E5314D"/>
    <w:rsid w:val="00E53AD2"/>
    <w:rsid w:val="00E55A45"/>
    <w:rsid w:val="00E57664"/>
    <w:rsid w:val="00E60371"/>
    <w:rsid w:val="00E62A90"/>
    <w:rsid w:val="00E63B63"/>
    <w:rsid w:val="00E70AEF"/>
    <w:rsid w:val="00E7766A"/>
    <w:rsid w:val="00E84157"/>
    <w:rsid w:val="00E866AD"/>
    <w:rsid w:val="00E86B10"/>
    <w:rsid w:val="00E87639"/>
    <w:rsid w:val="00E8763A"/>
    <w:rsid w:val="00E90602"/>
    <w:rsid w:val="00E94445"/>
    <w:rsid w:val="00E966E3"/>
    <w:rsid w:val="00E97F12"/>
    <w:rsid w:val="00EA0601"/>
    <w:rsid w:val="00EA245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A0E"/>
    <w:rsid w:val="00EE6FC5"/>
    <w:rsid w:val="00EE778B"/>
    <w:rsid w:val="00EE7B87"/>
    <w:rsid w:val="00EF31F8"/>
    <w:rsid w:val="00EF4B05"/>
    <w:rsid w:val="00EF4F5F"/>
    <w:rsid w:val="00EF701B"/>
    <w:rsid w:val="00EF7AF2"/>
    <w:rsid w:val="00EF7C63"/>
    <w:rsid w:val="00F0415D"/>
    <w:rsid w:val="00F049FB"/>
    <w:rsid w:val="00F05741"/>
    <w:rsid w:val="00F06D24"/>
    <w:rsid w:val="00F10756"/>
    <w:rsid w:val="00F12BFD"/>
    <w:rsid w:val="00F17FEA"/>
    <w:rsid w:val="00F200C2"/>
    <w:rsid w:val="00F215EA"/>
    <w:rsid w:val="00F21AD9"/>
    <w:rsid w:val="00F306CE"/>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3F7"/>
    <w:rsid w:val="00F71476"/>
    <w:rsid w:val="00F733ED"/>
    <w:rsid w:val="00F74AFA"/>
    <w:rsid w:val="00F77F7C"/>
    <w:rsid w:val="00F81734"/>
    <w:rsid w:val="00F82C66"/>
    <w:rsid w:val="00F83048"/>
    <w:rsid w:val="00F83EAA"/>
    <w:rsid w:val="00F85FB9"/>
    <w:rsid w:val="00F86D56"/>
    <w:rsid w:val="00F871DE"/>
    <w:rsid w:val="00F8746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205C"/>
    <w:rsid w:val="00FD27DB"/>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3.xml><?xml version="1.0" encoding="utf-8"?>
<ds:datastoreItem xmlns:ds="http://schemas.openxmlformats.org/officeDocument/2006/customXml" ds:itemID="{98777776-9211-4DCF-BBD8-6BDD454002A5}">
  <ds:schemaRefs>
    <ds:schemaRef ds:uri="http://purl.org/dc/term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http://purl.org/dc/elements/1.1/"/>
    <ds:schemaRef ds:uri="http://schemas.microsoft.com/office/2006/metadata/properties"/>
    <ds:schemaRef ds:uri="bceacaa7-2eae-4be0-a13e-aef9727ef041"/>
    <ds:schemaRef ds:uri="http://www.w3.org/XML/1998/namespace"/>
    <ds:schemaRef ds:uri="http://purl.org/dc/dcmitype/"/>
  </ds:schemaRefs>
</ds:datastoreItem>
</file>

<file path=customXml/itemProps4.xml><?xml version="1.0" encoding="utf-8"?>
<ds:datastoreItem xmlns:ds="http://schemas.openxmlformats.org/officeDocument/2006/customXml" ds:itemID="{B72FC51E-F415-499A-9E16-94D973D2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BD8538-7ABA-4B73-BEF0-60092F0F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6003</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2021-11-19T12:03:00Z</dcterms:created>
  <dcterms:modified xsi:type="dcterms:W3CDTF">2021-11-19T12:03:00Z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7faffe01-294e-485e-a61b-96174bb7b680</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